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EC71" w14:textId="6F176699" w:rsidR="00F143A6" w:rsidRDefault="00F143A6">
      <w:pPr>
        <w:jc w:val="center"/>
        <w:rPr>
          <w:b/>
          <w:bCs/>
          <w:sz w:val="24"/>
          <w:szCs w:val="24"/>
        </w:rPr>
      </w:pPr>
    </w:p>
    <w:p w14:paraId="5F2DA3A5" w14:textId="7273A073" w:rsidR="00E56586" w:rsidRDefault="00F143A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Next</w:t>
      </w:r>
      <w:proofErr w:type="spellEnd"/>
      <w:r>
        <w:rPr>
          <w:b/>
          <w:bCs/>
          <w:sz w:val="24"/>
          <w:szCs w:val="24"/>
        </w:rPr>
        <w:t xml:space="preserve"> Generation EU</w:t>
      </w:r>
      <w:r w:rsidR="00E565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</w:t>
      </w:r>
      <w:r w:rsidR="00E56586">
        <w:rPr>
          <w:b/>
          <w:bCs/>
          <w:sz w:val="24"/>
          <w:szCs w:val="24"/>
        </w:rPr>
        <w:t xml:space="preserve">Piano </w:t>
      </w:r>
      <w:r w:rsidR="004E4B7F">
        <w:rPr>
          <w:b/>
          <w:bCs/>
          <w:sz w:val="24"/>
          <w:szCs w:val="24"/>
        </w:rPr>
        <w:t xml:space="preserve">Nazionale </w:t>
      </w:r>
      <w:r w:rsidR="00E56586">
        <w:rPr>
          <w:b/>
          <w:bCs/>
          <w:sz w:val="24"/>
          <w:szCs w:val="24"/>
        </w:rPr>
        <w:t>per la Ripresa e la Resilienza (PNRR)</w:t>
      </w:r>
    </w:p>
    <w:p w14:paraId="2D1FB4FB" w14:textId="77777777" w:rsidR="002207AC" w:rsidRDefault="002207AC">
      <w:pPr>
        <w:rPr>
          <w:rFonts w:cstheme="minorHAnsi"/>
          <w:b/>
          <w:sz w:val="24"/>
          <w:szCs w:val="24"/>
        </w:rPr>
      </w:pPr>
    </w:p>
    <w:p w14:paraId="6BE9E8CB" w14:textId="5E34DD6E" w:rsidR="00B133A4" w:rsidRPr="00B4098D" w:rsidRDefault="002F746F" w:rsidP="00B4098D">
      <w:pPr>
        <w:rPr>
          <w:rFonts w:cstheme="minorHAnsi"/>
          <w:b/>
          <w:sz w:val="24"/>
          <w:szCs w:val="24"/>
        </w:rPr>
      </w:pPr>
      <w:r w:rsidRPr="00B4098D">
        <w:rPr>
          <w:rFonts w:cstheme="minorHAnsi"/>
          <w:b/>
          <w:sz w:val="24"/>
          <w:szCs w:val="24"/>
        </w:rPr>
        <w:t xml:space="preserve">Contesto nazionale </w:t>
      </w:r>
    </w:p>
    <w:p w14:paraId="6E4D5810" w14:textId="00B792C0" w:rsidR="00B133A4" w:rsidRPr="00604D9D" w:rsidRDefault="00B133A4" w:rsidP="00B133A4">
      <w:pPr>
        <w:spacing w:before="100" w:beforeAutospacing="1" w:after="100" w:afterAutospacing="1" w:line="240" w:lineRule="auto"/>
        <w:jc w:val="both"/>
        <w:rPr>
          <w:rFonts w:cstheme="minorHAnsi"/>
          <w:bCs/>
          <w:sz w:val="24"/>
          <w:szCs w:val="24"/>
        </w:rPr>
      </w:pPr>
      <w:r w:rsidRPr="00604D9D">
        <w:rPr>
          <w:rFonts w:cstheme="minorHAnsi"/>
          <w:bCs/>
          <w:sz w:val="24"/>
          <w:szCs w:val="24"/>
        </w:rPr>
        <w:t>Il Governo Italiano già</w:t>
      </w:r>
      <w:r w:rsidR="000F695B" w:rsidRPr="00604D9D">
        <w:rPr>
          <w:rFonts w:cstheme="minorHAnsi"/>
          <w:bCs/>
          <w:sz w:val="24"/>
          <w:szCs w:val="24"/>
        </w:rPr>
        <w:t xml:space="preserve"> il 15</w:t>
      </w:r>
      <w:r w:rsidRPr="00604D9D">
        <w:rPr>
          <w:rFonts w:cstheme="minorHAnsi"/>
          <w:bCs/>
          <w:sz w:val="24"/>
          <w:szCs w:val="24"/>
        </w:rPr>
        <w:t xml:space="preserve"> settembre 202</w:t>
      </w:r>
      <w:r w:rsidR="000F695B" w:rsidRPr="00604D9D">
        <w:rPr>
          <w:rFonts w:cstheme="minorHAnsi"/>
          <w:bCs/>
          <w:sz w:val="24"/>
          <w:szCs w:val="24"/>
        </w:rPr>
        <w:t xml:space="preserve">0 </w:t>
      </w:r>
      <w:r w:rsidRPr="00604D9D">
        <w:rPr>
          <w:rFonts w:cstheme="minorHAnsi"/>
          <w:bCs/>
          <w:sz w:val="24"/>
          <w:szCs w:val="24"/>
        </w:rPr>
        <w:t xml:space="preserve">aveva presentato le proprie </w:t>
      </w:r>
      <w:r w:rsidRPr="00B4098D">
        <w:rPr>
          <w:rFonts w:cstheme="minorHAnsi"/>
          <w:b/>
          <w:sz w:val="24"/>
          <w:szCs w:val="24"/>
        </w:rPr>
        <w:t>Linee guida</w:t>
      </w:r>
      <w:r w:rsidRPr="00604D9D">
        <w:rPr>
          <w:rFonts w:cstheme="minorHAnsi"/>
          <w:bCs/>
          <w:sz w:val="24"/>
          <w:szCs w:val="24"/>
        </w:rPr>
        <w:t xml:space="preserve"> per la redazione del PNRR</w:t>
      </w:r>
      <w:r w:rsidR="000F695B" w:rsidRPr="00604D9D">
        <w:rPr>
          <w:rFonts w:cstheme="minorHAnsi"/>
          <w:bCs/>
          <w:sz w:val="24"/>
          <w:szCs w:val="24"/>
        </w:rPr>
        <w:t>, sottoposte all’esame del Parlamento nel mese di ottobre, nei mesi successivi dopo varie interlocuzioni e con la Commissione europea e con le Regioni, gli Enti locali e Parti sociali si è arrivati ad una ad una proposta presentata al Parlamento il 12 gennaio 2021.</w:t>
      </w:r>
    </w:p>
    <w:p w14:paraId="1E988CF3" w14:textId="76182F02" w:rsidR="00B133A4" w:rsidRPr="00B4098D" w:rsidRDefault="000F695B" w:rsidP="00B4098D">
      <w:pPr>
        <w:spacing w:before="100" w:beforeAutospacing="1" w:after="100" w:afterAutospacing="1" w:line="240" w:lineRule="auto"/>
        <w:jc w:val="both"/>
        <w:rPr>
          <w:rFonts w:cstheme="minorHAnsi"/>
          <w:bCs/>
        </w:rPr>
      </w:pPr>
      <w:r w:rsidRPr="00B4098D">
        <w:rPr>
          <w:rFonts w:cstheme="minorHAnsi"/>
          <w:bCs/>
          <w:sz w:val="24"/>
          <w:szCs w:val="24"/>
        </w:rPr>
        <w:t xml:space="preserve">Il Nuovo Governo ha poi ripreso le interlocuzioni con la Task force della Commissione europea e reso definitivo il testo della proposta presentata </w:t>
      </w:r>
      <w:r w:rsidR="00604D9D">
        <w:rPr>
          <w:rFonts w:cstheme="minorHAnsi"/>
          <w:bCs/>
          <w:sz w:val="24"/>
          <w:szCs w:val="24"/>
        </w:rPr>
        <w:t xml:space="preserve">secondo i tempi indicati </w:t>
      </w:r>
      <w:r w:rsidRPr="00B4098D">
        <w:rPr>
          <w:rFonts w:cstheme="minorHAnsi"/>
          <w:bCs/>
          <w:sz w:val="24"/>
          <w:szCs w:val="24"/>
        </w:rPr>
        <w:t xml:space="preserve">ad </w:t>
      </w:r>
      <w:proofErr w:type="gramStart"/>
      <w:r w:rsidRPr="00B4098D">
        <w:rPr>
          <w:rFonts w:cstheme="minorHAnsi"/>
          <w:bCs/>
          <w:sz w:val="24"/>
          <w:szCs w:val="24"/>
        </w:rPr>
        <w:t>Aprile</w:t>
      </w:r>
      <w:proofErr w:type="gramEnd"/>
      <w:r w:rsidRPr="00B4098D">
        <w:rPr>
          <w:rFonts w:cstheme="minorHAnsi"/>
          <w:bCs/>
          <w:sz w:val="24"/>
          <w:szCs w:val="24"/>
        </w:rPr>
        <w:t xml:space="preserve"> 2021. Entro il mese di giugno prima parte di </w:t>
      </w:r>
      <w:proofErr w:type="gramStart"/>
      <w:r w:rsidRPr="00B4098D">
        <w:rPr>
          <w:rFonts w:cstheme="minorHAnsi"/>
          <w:bCs/>
          <w:sz w:val="24"/>
          <w:szCs w:val="24"/>
        </w:rPr>
        <w:t>Luglio</w:t>
      </w:r>
      <w:proofErr w:type="gramEnd"/>
      <w:r w:rsidRPr="00B4098D">
        <w:rPr>
          <w:rFonts w:cstheme="minorHAnsi"/>
          <w:bCs/>
          <w:sz w:val="24"/>
          <w:szCs w:val="24"/>
        </w:rPr>
        <w:t xml:space="preserve"> </w:t>
      </w:r>
      <w:r w:rsidR="00647FBF" w:rsidRPr="00B4098D">
        <w:rPr>
          <w:rFonts w:cstheme="minorHAnsi"/>
          <w:bCs/>
          <w:sz w:val="24"/>
          <w:szCs w:val="24"/>
        </w:rPr>
        <w:t xml:space="preserve">2021 è prevista </w:t>
      </w:r>
      <w:r w:rsidRPr="00B4098D">
        <w:rPr>
          <w:rFonts w:cstheme="minorHAnsi"/>
          <w:bCs/>
          <w:sz w:val="24"/>
          <w:szCs w:val="24"/>
        </w:rPr>
        <w:t>l</w:t>
      </w:r>
      <w:r w:rsidR="00647FBF" w:rsidRPr="00B4098D">
        <w:rPr>
          <w:rFonts w:cstheme="minorHAnsi"/>
          <w:bCs/>
          <w:sz w:val="24"/>
          <w:szCs w:val="24"/>
        </w:rPr>
        <w:t>’</w:t>
      </w:r>
      <w:r w:rsidRPr="00B4098D">
        <w:rPr>
          <w:rFonts w:cstheme="minorHAnsi"/>
          <w:bCs/>
          <w:sz w:val="24"/>
          <w:szCs w:val="24"/>
        </w:rPr>
        <w:t>approvazione del Piano da parte del Commissione europea.</w:t>
      </w:r>
      <w:r w:rsidR="002207AC" w:rsidRPr="00B4098D">
        <w:rPr>
          <w:rFonts w:cstheme="minorHAnsi"/>
          <w:bCs/>
          <w:sz w:val="24"/>
          <w:szCs w:val="24"/>
        </w:rPr>
        <w:t xml:space="preserve"> Due giorni fa la Commissaria europea in visita a Roma ha annunciato </w:t>
      </w:r>
      <w:proofErr w:type="gramStart"/>
      <w:r w:rsidR="002207AC" w:rsidRPr="00B4098D">
        <w:rPr>
          <w:rFonts w:cstheme="minorHAnsi"/>
          <w:bCs/>
          <w:sz w:val="24"/>
          <w:szCs w:val="24"/>
        </w:rPr>
        <w:t>l’ approvazione</w:t>
      </w:r>
      <w:proofErr w:type="gramEnd"/>
      <w:r w:rsidR="002207AC" w:rsidRPr="00B4098D">
        <w:rPr>
          <w:rFonts w:cstheme="minorHAnsi"/>
          <w:bCs/>
          <w:sz w:val="24"/>
          <w:szCs w:val="24"/>
        </w:rPr>
        <w:t xml:space="preserve"> del Piano.</w:t>
      </w:r>
    </w:p>
    <w:p w14:paraId="10BBDD97" w14:textId="1ACADC25" w:rsidR="00B133A4" w:rsidRPr="00B4098D" w:rsidRDefault="00647FBF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b/>
          <w:bCs/>
          <w:color w:val="333333"/>
        </w:rPr>
      </w:pPr>
      <w:r w:rsidRPr="00B4098D">
        <w:rPr>
          <w:rFonts w:asciiTheme="minorHAnsi" w:hAnsiTheme="minorHAnsi" w:cstheme="minorHAnsi"/>
          <w:b/>
          <w:bCs/>
          <w:color w:val="333333"/>
        </w:rPr>
        <w:t>Descrizione del</w:t>
      </w:r>
      <w:r w:rsidR="00B133A4" w:rsidRPr="00B4098D">
        <w:rPr>
          <w:rFonts w:asciiTheme="minorHAnsi" w:hAnsiTheme="minorHAnsi" w:cstheme="minorHAnsi"/>
          <w:b/>
          <w:bCs/>
          <w:color w:val="333333"/>
        </w:rPr>
        <w:t xml:space="preserve"> PNRR</w:t>
      </w:r>
    </w:p>
    <w:p w14:paraId="736C27FE" w14:textId="1B151946" w:rsidR="006912F5" w:rsidRPr="00B4098D" w:rsidRDefault="006912F5" w:rsidP="00B4098D">
      <w:pPr>
        <w:jc w:val="both"/>
        <w:rPr>
          <w:rFonts w:cstheme="minorHAnsi"/>
          <w:b/>
          <w:bCs/>
          <w:color w:val="333333"/>
        </w:rPr>
      </w:pPr>
      <w:r w:rsidRPr="00B4098D">
        <w:rPr>
          <w:rFonts w:cstheme="minorHAnsi"/>
          <w:color w:val="333333"/>
          <w:sz w:val="24"/>
          <w:szCs w:val="24"/>
        </w:rPr>
        <w:t>Il PNRR si inserisce all’interno del programma </w:t>
      </w:r>
      <w:proofErr w:type="spellStart"/>
      <w:r w:rsidRPr="00B4098D">
        <w:rPr>
          <w:rStyle w:val="Enfasigrassetto"/>
          <w:rFonts w:cstheme="minorHAnsi"/>
          <w:color w:val="333333"/>
          <w:sz w:val="24"/>
          <w:szCs w:val="24"/>
        </w:rPr>
        <w:t>Next</w:t>
      </w:r>
      <w:proofErr w:type="spellEnd"/>
      <w:r w:rsidRPr="00B4098D">
        <w:rPr>
          <w:rStyle w:val="Enfasigrassetto"/>
          <w:rFonts w:cstheme="minorHAnsi"/>
          <w:color w:val="333333"/>
          <w:sz w:val="24"/>
          <w:szCs w:val="24"/>
        </w:rPr>
        <w:t xml:space="preserve"> Generation EU (NGEU)</w:t>
      </w:r>
      <w:r w:rsidRPr="00B4098D">
        <w:rPr>
          <w:rFonts w:cstheme="minorHAnsi"/>
          <w:color w:val="333333"/>
          <w:sz w:val="24"/>
          <w:szCs w:val="24"/>
        </w:rPr>
        <w:t xml:space="preserve">, il pacchetto da </w:t>
      </w:r>
      <w:r w:rsidRPr="00B4098D">
        <w:rPr>
          <w:rFonts w:cstheme="minorHAnsi"/>
          <w:b/>
          <w:bCs/>
          <w:color w:val="333333"/>
          <w:sz w:val="24"/>
          <w:szCs w:val="24"/>
        </w:rPr>
        <w:t>750 miliardi di</w:t>
      </w:r>
      <w:r w:rsidRPr="00B4098D">
        <w:rPr>
          <w:rFonts w:cstheme="minorHAnsi"/>
          <w:color w:val="333333"/>
          <w:sz w:val="24"/>
          <w:szCs w:val="24"/>
        </w:rPr>
        <w:t xml:space="preserve"> euro concordato dall’Unione Europea in risposta alla crisi pandemica. Il Piano italiano prevede investimenti pari a</w:t>
      </w:r>
      <w:r w:rsidRPr="00B4098D">
        <w:rPr>
          <w:rStyle w:val="Enfasigrassetto"/>
          <w:rFonts w:cstheme="minorHAnsi"/>
          <w:color w:val="333333"/>
          <w:sz w:val="24"/>
          <w:szCs w:val="24"/>
        </w:rPr>
        <w:t> 191,5 miliardi di euro</w:t>
      </w:r>
      <w:r w:rsidRPr="00B4098D">
        <w:rPr>
          <w:rFonts w:cstheme="minorHAnsi"/>
          <w:color w:val="333333"/>
          <w:sz w:val="24"/>
          <w:szCs w:val="24"/>
        </w:rPr>
        <w:t>, finanziati attraverso il Dispositivo per la Ripresa e la Resilienza, lo strumento chiave del NGEU. Ulteriori</w:t>
      </w:r>
      <w:r w:rsidRPr="00B4098D">
        <w:rPr>
          <w:rStyle w:val="Enfasigrassetto"/>
          <w:rFonts w:cstheme="minorHAnsi"/>
          <w:color w:val="333333"/>
          <w:sz w:val="24"/>
          <w:szCs w:val="24"/>
        </w:rPr>
        <w:t> 30,6 miliardi </w:t>
      </w:r>
      <w:r w:rsidRPr="00B4098D">
        <w:rPr>
          <w:rFonts w:cstheme="minorHAnsi"/>
          <w:color w:val="333333"/>
          <w:sz w:val="24"/>
          <w:szCs w:val="24"/>
        </w:rPr>
        <w:t xml:space="preserve">sono parte di un </w:t>
      </w:r>
      <w:r w:rsidRPr="00B4098D">
        <w:rPr>
          <w:rFonts w:cstheme="minorHAnsi"/>
          <w:b/>
          <w:bCs/>
          <w:color w:val="333333"/>
          <w:sz w:val="24"/>
          <w:szCs w:val="24"/>
        </w:rPr>
        <w:t>Fondo complementare,</w:t>
      </w:r>
      <w:r w:rsidRPr="00B4098D">
        <w:rPr>
          <w:rFonts w:cstheme="minorHAnsi"/>
          <w:color w:val="333333"/>
          <w:sz w:val="24"/>
          <w:szCs w:val="24"/>
        </w:rPr>
        <w:t xml:space="preserve"> finanziato attraverso lo scostamento pluriennale di bilancio approvato nel Consiglio dei ministri del 15 aprile e </w:t>
      </w:r>
      <w:r w:rsidRPr="00B4098D">
        <w:rPr>
          <w:rFonts w:cstheme="minorHAnsi"/>
          <w:b/>
          <w:bCs/>
          <w:color w:val="333333"/>
          <w:sz w:val="24"/>
          <w:szCs w:val="24"/>
        </w:rPr>
        <w:t>13 miliardi</w:t>
      </w:r>
      <w:r w:rsidRPr="00B4098D">
        <w:rPr>
          <w:rFonts w:cstheme="minorHAnsi"/>
          <w:color w:val="333333"/>
          <w:sz w:val="24"/>
          <w:szCs w:val="24"/>
        </w:rPr>
        <w:t xml:space="preserve"> sono</w:t>
      </w:r>
      <w:r w:rsidRPr="00B4098D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B4098D">
        <w:rPr>
          <w:rFonts w:cstheme="minorHAnsi"/>
          <w:i/>
          <w:iCs/>
          <w:sz w:val="24"/>
          <w:szCs w:val="24"/>
        </w:rPr>
        <w:t>attribuiti a REACT-EU</w:t>
      </w:r>
      <w:r w:rsidRPr="00B4098D">
        <w:rPr>
          <w:rFonts w:cstheme="minorHAnsi"/>
          <w:sz w:val="24"/>
          <w:szCs w:val="24"/>
        </w:rPr>
        <w:t xml:space="preserve">, il meccanismo ponte tra l’attuale politica di coesione e i Programmi 2021-2027. </w:t>
      </w:r>
      <w:r w:rsidRPr="00B4098D">
        <w:rPr>
          <w:rFonts w:cstheme="minorHAnsi"/>
          <w:color w:val="333333"/>
          <w:sz w:val="24"/>
          <w:szCs w:val="24"/>
        </w:rPr>
        <w:t xml:space="preserve"> Il totale degli investimenti previsti è pertanto di</w:t>
      </w:r>
      <w:r w:rsidRPr="00B4098D">
        <w:rPr>
          <w:rStyle w:val="Enfasigrassetto"/>
          <w:rFonts w:cstheme="minorHAnsi"/>
          <w:color w:val="333333"/>
          <w:sz w:val="24"/>
          <w:szCs w:val="24"/>
        </w:rPr>
        <w:t> 235,12 miliardi di euro.</w:t>
      </w:r>
    </w:p>
    <w:p w14:paraId="7A18C010" w14:textId="0598B188" w:rsidR="0043526E" w:rsidRPr="00604D9D" w:rsidRDefault="00604D9D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Il</w:t>
      </w:r>
      <w:r w:rsidR="0043526E" w:rsidRPr="00604D9D">
        <w:rPr>
          <w:rFonts w:asciiTheme="minorHAnsi" w:hAnsiTheme="minorHAnsi" w:cstheme="minorHAnsi"/>
          <w:color w:val="333333"/>
        </w:rPr>
        <w:t xml:space="preserve"> Piano ha come principali beneficiari le </w:t>
      </w:r>
      <w:r w:rsidR="0043526E" w:rsidRPr="00604D9D">
        <w:rPr>
          <w:rFonts w:asciiTheme="minorHAnsi" w:hAnsiTheme="minorHAnsi" w:cstheme="minorHAnsi"/>
          <w:b/>
          <w:bCs/>
          <w:color w:val="333333"/>
        </w:rPr>
        <w:t>donne,</w:t>
      </w:r>
      <w:r w:rsidR="0043526E" w:rsidRPr="00604D9D">
        <w:rPr>
          <w:rStyle w:val="Enfasigrassetto"/>
          <w:rFonts w:asciiTheme="minorHAnsi" w:hAnsiTheme="minorHAnsi" w:cstheme="minorHAnsi"/>
          <w:color w:val="333333"/>
        </w:rPr>
        <w:t> i giovani e il Mezzogiorno</w:t>
      </w:r>
      <w:r w:rsidR="006912F5" w:rsidRPr="00604D9D">
        <w:rPr>
          <w:rStyle w:val="Enfasigrassetto"/>
          <w:rFonts w:asciiTheme="minorHAnsi" w:hAnsiTheme="minorHAnsi" w:cstheme="minorHAnsi"/>
          <w:color w:val="333333"/>
        </w:rPr>
        <w:t xml:space="preserve">, </w:t>
      </w:r>
      <w:r w:rsidR="006912F5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considerate nella</w:t>
      </w:r>
      <w:r w:rsidR="006912F5" w:rsidRPr="00604D9D">
        <w:rPr>
          <w:rStyle w:val="Enfasigrassetto"/>
          <w:rFonts w:asciiTheme="minorHAnsi" w:hAnsiTheme="minorHAnsi" w:cstheme="minorHAnsi"/>
          <w:color w:val="333333"/>
        </w:rPr>
        <w:t xml:space="preserve"> </w:t>
      </w:r>
      <w:r w:rsidR="006912F5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proposta come</w:t>
      </w:r>
      <w:r w:rsidR="006912F5" w:rsidRPr="00604D9D">
        <w:rPr>
          <w:rStyle w:val="Enfasigrassetto"/>
          <w:rFonts w:asciiTheme="minorHAnsi" w:hAnsiTheme="minorHAnsi" w:cstheme="minorHAnsi"/>
          <w:color w:val="333333"/>
        </w:rPr>
        <w:t xml:space="preserve"> Priorità trasversali </w:t>
      </w:r>
      <w:r w:rsidR="0043526E" w:rsidRPr="00604D9D">
        <w:rPr>
          <w:rFonts w:asciiTheme="minorHAnsi" w:hAnsiTheme="minorHAnsi" w:cstheme="minorHAnsi"/>
          <w:color w:val="333333"/>
        </w:rPr>
        <w:t>e contribuisce in modo sostanziale a favorire l’</w:t>
      </w:r>
      <w:r w:rsidR="0043526E" w:rsidRPr="00604D9D">
        <w:rPr>
          <w:rStyle w:val="Enfasigrassetto"/>
          <w:rFonts w:asciiTheme="minorHAnsi" w:hAnsiTheme="minorHAnsi" w:cstheme="minorHAnsi"/>
          <w:color w:val="333333"/>
        </w:rPr>
        <w:t xml:space="preserve">inclusione sociale </w:t>
      </w:r>
      <w:r w:rsidR="0043526E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e a ridurre</w:t>
      </w:r>
      <w:r w:rsidR="006912F5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43526E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i divari territoriali</w:t>
      </w:r>
      <w:r w:rsidR="006912F5" w:rsidRPr="00604D9D">
        <w:rPr>
          <w:rFonts w:asciiTheme="minorHAnsi" w:hAnsiTheme="minorHAnsi" w:cstheme="minorHAnsi"/>
          <w:color w:val="333333"/>
        </w:rPr>
        <w:t xml:space="preserve">, nonché avviare le </w:t>
      </w:r>
      <w:r w:rsidR="006912F5" w:rsidRPr="00B4098D">
        <w:rPr>
          <w:rFonts w:asciiTheme="minorHAnsi" w:hAnsiTheme="minorHAnsi" w:cstheme="minorHAnsi"/>
          <w:b/>
          <w:bCs/>
          <w:color w:val="333333"/>
        </w:rPr>
        <w:t>Riforme</w:t>
      </w:r>
      <w:r w:rsidR="006912F5" w:rsidRPr="00604D9D">
        <w:rPr>
          <w:rFonts w:asciiTheme="minorHAnsi" w:hAnsiTheme="minorHAnsi" w:cstheme="minorHAnsi"/>
          <w:color w:val="333333"/>
        </w:rPr>
        <w:t xml:space="preserve"> come previsto dalle Raccomandazioni Paese 2019 e 2020. </w:t>
      </w:r>
      <w:r w:rsidR="0043526E" w:rsidRPr="00604D9D">
        <w:rPr>
          <w:rFonts w:asciiTheme="minorHAnsi" w:hAnsiTheme="minorHAnsi" w:cstheme="minorHAnsi"/>
          <w:color w:val="333333"/>
        </w:rPr>
        <w:t>Nel complesso, il </w:t>
      </w:r>
      <w:r w:rsidR="0043526E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27 per cento</w:t>
      </w:r>
      <w:r w:rsidR="0043526E" w:rsidRPr="00604D9D">
        <w:rPr>
          <w:rFonts w:asciiTheme="minorHAnsi" w:hAnsiTheme="minorHAnsi" w:cstheme="minorHAnsi"/>
          <w:color w:val="333333"/>
        </w:rPr>
        <w:t> del Piano è dedicato alla </w:t>
      </w:r>
      <w:r w:rsidR="0043526E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digitalizzazione</w:t>
      </w:r>
      <w:r w:rsidR="0043526E" w:rsidRPr="00604D9D">
        <w:rPr>
          <w:rFonts w:asciiTheme="minorHAnsi" w:hAnsiTheme="minorHAnsi" w:cstheme="minorHAnsi"/>
          <w:color w:val="333333"/>
        </w:rPr>
        <w:t>, il </w:t>
      </w:r>
      <w:r w:rsidR="0043526E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40 per cento agli investimenti per il contrasto al cambiamento climatico</w:t>
      </w:r>
      <w:r w:rsidR="0043526E" w:rsidRPr="00604D9D">
        <w:rPr>
          <w:rFonts w:asciiTheme="minorHAnsi" w:hAnsiTheme="minorHAnsi" w:cstheme="minorHAnsi"/>
          <w:color w:val="333333"/>
        </w:rPr>
        <w:t>, e </w:t>
      </w:r>
      <w:r w:rsidR="0043526E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più del 10</w:t>
      </w:r>
      <w:r w:rsidR="0043526E" w:rsidRPr="00604D9D">
        <w:rPr>
          <w:rFonts w:asciiTheme="minorHAnsi" w:hAnsiTheme="minorHAnsi" w:cstheme="minorHAnsi"/>
          <w:color w:val="333333"/>
        </w:rPr>
        <w:t> per cento alla </w:t>
      </w:r>
      <w:r w:rsidR="0043526E"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coesione sociale</w:t>
      </w:r>
      <w:r>
        <w:rPr>
          <w:rFonts w:asciiTheme="minorHAnsi" w:hAnsiTheme="minorHAnsi" w:cstheme="minorHAnsi"/>
          <w:color w:val="333333"/>
        </w:rPr>
        <w:t>, nel rispetto delle percentuali indicate dalla Commissione Europea.</w:t>
      </w:r>
    </w:p>
    <w:p w14:paraId="228D1216" w14:textId="37CD961B" w:rsidR="0043526E" w:rsidRPr="00604D9D" w:rsidRDefault="0043526E" w:rsidP="0043526E">
      <w:pPr>
        <w:pStyle w:val="NormaleWeb"/>
        <w:spacing w:before="0" w:beforeAutospacing="0" w:after="150" w:afterAutospacing="0" w:line="240" w:lineRule="atLeast"/>
        <w:rPr>
          <w:rFonts w:asciiTheme="minorHAnsi" w:hAnsiTheme="minorHAnsi" w:cstheme="minorHAnsi"/>
          <w:color w:val="333333"/>
        </w:rPr>
      </w:pPr>
      <w:r w:rsidRPr="00604D9D">
        <w:rPr>
          <w:rFonts w:asciiTheme="minorHAnsi" w:hAnsiTheme="minorHAnsi" w:cstheme="minorHAnsi"/>
          <w:color w:val="333333"/>
        </w:rPr>
        <w:t xml:space="preserve">Il Piano </w:t>
      </w:r>
      <w:r w:rsidR="00604D9D" w:rsidRPr="00B4098D">
        <w:rPr>
          <w:rFonts w:asciiTheme="minorHAnsi" w:hAnsiTheme="minorHAnsi" w:cstheme="minorHAnsi"/>
          <w:color w:val="333333"/>
        </w:rPr>
        <w:t>è organizzato</w:t>
      </w:r>
      <w:r w:rsidRPr="00604D9D">
        <w:rPr>
          <w:rFonts w:asciiTheme="minorHAnsi" w:hAnsiTheme="minorHAnsi" w:cstheme="minorHAnsi"/>
          <w:color w:val="333333"/>
        </w:rPr>
        <w:t xml:space="preserve"> lungo </w:t>
      </w:r>
      <w:r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sei missioni</w:t>
      </w:r>
      <w:r w:rsidRPr="00604D9D">
        <w:rPr>
          <w:rFonts w:asciiTheme="minorHAnsi" w:hAnsiTheme="minorHAnsi" w:cstheme="minorHAnsi"/>
          <w:color w:val="333333"/>
        </w:rPr>
        <w:t>.</w:t>
      </w:r>
    </w:p>
    <w:p w14:paraId="18FB9B9A" w14:textId="7551E98F" w:rsidR="0043526E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La prima missione, “</w:t>
      </w:r>
      <w:r w:rsidRPr="00791CA3">
        <w:rPr>
          <w:rStyle w:val="Enfasigrassetto"/>
          <w:rFonts w:asciiTheme="minorHAnsi" w:hAnsiTheme="minorHAnsi" w:cstheme="minorHAnsi"/>
          <w:color w:val="333333"/>
        </w:rPr>
        <w:t>Digitalizzazione, Innovazione, Competitività, Cultura</w:t>
      </w:r>
      <w:r w:rsidR="00647FBF">
        <w:rPr>
          <w:rStyle w:val="Enfasigrassetto"/>
          <w:rFonts w:asciiTheme="minorHAnsi" w:hAnsiTheme="minorHAnsi" w:cstheme="minorHAnsi"/>
          <w:color w:val="333333"/>
        </w:rPr>
        <w:t xml:space="preserve"> e turismo</w:t>
      </w:r>
      <w:r w:rsidRPr="00791CA3">
        <w:rPr>
          <w:rFonts w:asciiTheme="minorHAnsi" w:hAnsiTheme="minorHAnsi" w:cstheme="minorHAnsi"/>
          <w:color w:val="333333"/>
        </w:rPr>
        <w:t>”, stanzia complessivamente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49,</w:t>
      </w:r>
      <w:r w:rsidR="00647FBF">
        <w:rPr>
          <w:rStyle w:val="Enfasigrassetto"/>
          <w:rFonts w:asciiTheme="minorHAnsi" w:hAnsiTheme="minorHAnsi" w:cstheme="minorHAnsi"/>
          <w:color w:val="333333"/>
        </w:rPr>
        <w:t xml:space="preserve">86 </w:t>
      </w:r>
      <w:r w:rsidRPr="00791CA3">
        <w:rPr>
          <w:rStyle w:val="Enfasigrassetto"/>
          <w:rFonts w:asciiTheme="minorHAnsi" w:hAnsiTheme="minorHAnsi" w:cstheme="minorHAnsi"/>
          <w:color w:val="333333"/>
        </w:rPr>
        <w:t>miliardi </w:t>
      </w:r>
      <w:r w:rsidRPr="00791CA3">
        <w:rPr>
          <w:rFonts w:asciiTheme="minorHAnsi" w:hAnsiTheme="minorHAnsi" w:cstheme="minorHAnsi"/>
          <w:color w:val="333333"/>
        </w:rPr>
        <w:t>– di cui 40,</w:t>
      </w:r>
      <w:r w:rsidR="00647FBF">
        <w:rPr>
          <w:rFonts w:asciiTheme="minorHAnsi" w:hAnsiTheme="minorHAnsi" w:cstheme="minorHAnsi"/>
          <w:color w:val="333333"/>
        </w:rPr>
        <w:t>32</w:t>
      </w:r>
      <w:r w:rsidRPr="00791CA3">
        <w:rPr>
          <w:rFonts w:asciiTheme="minorHAnsi" w:hAnsiTheme="minorHAnsi" w:cstheme="minorHAnsi"/>
          <w:color w:val="333333"/>
        </w:rPr>
        <w:t xml:space="preserve"> miliardi dal Dispositivo </w:t>
      </w:r>
      <w:r w:rsidR="000B5642">
        <w:rPr>
          <w:rFonts w:asciiTheme="minorHAnsi" w:hAnsiTheme="minorHAnsi" w:cstheme="minorHAnsi"/>
          <w:color w:val="333333"/>
        </w:rPr>
        <w:t>per la Ripresa e la Resilienza, 80 milioni da REACT EU e</w:t>
      </w:r>
      <w:r w:rsidRPr="00791CA3">
        <w:rPr>
          <w:rFonts w:asciiTheme="minorHAnsi" w:hAnsiTheme="minorHAnsi" w:cstheme="minorHAnsi"/>
          <w:color w:val="333333"/>
        </w:rPr>
        <w:t xml:space="preserve"> 8,</w:t>
      </w:r>
      <w:r w:rsidR="00647FBF">
        <w:rPr>
          <w:rFonts w:asciiTheme="minorHAnsi" w:hAnsiTheme="minorHAnsi" w:cstheme="minorHAnsi"/>
          <w:color w:val="333333"/>
        </w:rPr>
        <w:t>7</w:t>
      </w:r>
      <w:r w:rsidR="000B5642">
        <w:rPr>
          <w:rFonts w:asciiTheme="minorHAnsi" w:hAnsiTheme="minorHAnsi" w:cstheme="minorHAnsi"/>
          <w:color w:val="333333"/>
        </w:rPr>
        <w:t>4</w:t>
      </w:r>
      <w:r w:rsidRPr="00791CA3">
        <w:rPr>
          <w:rFonts w:asciiTheme="minorHAnsi" w:hAnsiTheme="minorHAnsi" w:cstheme="minorHAnsi"/>
          <w:color w:val="333333"/>
        </w:rPr>
        <w:t xml:space="preserve"> miliardi dal Fondo</w:t>
      </w:r>
      <w:r w:rsidR="00647FBF">
        <w:rPr>
          <w:rFonts w:asciiTheme="minorHAnsi" w:hAnsiTheme="minorHAnsi" w:cstheme="minorHAnsi"/>
          <w:color w:val="333333"/>
        </w:rPr>
        <w:t xml:space="preserve"> complementare</w:t>
      </w:r>
      <w:r>
        <w:rPr>
          <w:rFonts w:asciiTheme="minorHAnsi" w:hAnsiTheme="minorHAnsi" w:cstheme="minorHAnsi"/>
          <w:color w:val="333333"/>
        </w:rPr>
        <w:t xml:space="preserve">. </w:t>
      </w:r>
      <w:r w:rsidRPr="00791CA3">
        <w:rPr>
          <w:rFonts w:asciiTheme="minorHAnsi" w:hAnsiTheme="minorHAnsi" w:cstheme="minorHAnsi"/>
          <w:color w:val="333333"/>
        </w:rPr>
        <w:t>I suoi obiettivi sono promuovere la trasformazione digitale del Paese, sostenere l’innovazione del sistema produttivo, e investire in due settori chiave per l’Italia</w:t>
      </w:r>
      <w:r w:rsidRPr="00791CA3">
        <w:rPr>
          <w:rFonts w:asciiTheme="minorHAnsi" w:hAnsiTheme="minorHAnsi" w:cstheme="minorHAnsi"/>
          <w:b/>
          <w:bCs/>
          <w:color w:val="333333"/>
        </w:rPr>
        <w:t>, turismo e cultura. </w:t>
      </w:r>
      <w:r w:rsidRPr="00791CA3">
        <w:rPr>
          <w:rFonts w:asciiTheme="minorHAnsi" w:hAnsiTheme="minorHAnsi" w:cstheme="minorHAnsi"/>
          <w:color w:val="333333"/>
        </w:rPr>
        <w:t>Gli investimenti previsti nel piano assicurano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la fornitura di banda ultra-larga</w:t>
      </w:r>
      <w:r w:rsidRPr="00791CA3">
        <w:rPr>
          <w:rFonts w:asciiTheme="minorHAnsi" w:hAnsiTheme="minorHAnsi" w:cstheme="minorHAnsi"/>
          <w:color w:val="333333"/>
        </w:rPr>
        <w:t xml:space="preserve"> e connessioni veloci in tutto il Paese. In particolare, portano la connettività a 1 </w:t>
      </w:r>
      <w:proofErr w:type="spellStart"/>
      <w:r w:rsidRPr="00791CA3">
        <w:rPr>
          <w:rFonts w:asciiTheme="minorHAnsi" w:hAnsiTheme="minorHAnsi" w:cstheme="minorHAnsi"/>
          <w:color w:val="333333"/>
        </w:rPr>
        <w:t>Gbps</w:t>
      </w:r>
      <w:proofErr w:type="spellEnd"/>
      <w:r w:rsidRPr="00791CA3">
        <w:rPr>
          <w:rFonts w:asciiTheme="minorHAnsi" w:hAnsiTheme="minorHAnsi" w:cstheme="minorHAnsi"/>
          <w:color w:val="333333"/>
        </w:rPr>
        <w:t xml:space="preserve"> in rete fissa a circa 8,5 milioni di famiglie e a 9.000 edifici scolastici che ancora ne sono privi, e assicurano connettività adeguata ai 12.000 punti di erogazione del Servizio Sanitario Nazionale.  Viene avviato anche un Piano Italia 5G per il potenziamento della connettività mobile in aree a fallimento di mercato.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prevede incentivi per l’adozione di tecnologie innovative e competenze digitali nel settore privato, e</w:t>
      </w:r>
      <w:r w:rsidRPr="00791CA3">
        <w:rPr>
          <w:rStyle w:val="Enfasigrassetto"/>
          <w:rFonts w:asciiTheme="minorHAnsi" w:hAnsiTheme="minorHAnsi" w:cstheme="minorHAnsi"/>
          <w:color w:val="333333"/>
        </w:rPr>
        <w:t xml:space="preserve"> rafforza le infrastrutture digitali della pubblica </w:t>
      </w:r>
      <w:r w:rsidRPr="00791CA3">
        <w:rPr>
          <w:rStyle w:val="Enfasigrassetto"/>
          <w:rFonts w:asciiTheme="minorHAnsi" w:hAnsiTheme="minorHAnsi" w:cstheme="minorHAnsi"/>
          <w:color w:val="333333"/>
        </w:rPr>
        <w:lastRenderedPageBreak/>
        <w:t>amministrazione</w:t>
      </w:r>
      <w:r w:rsidRPr="00791CA3">
        <w:rPr>
          <w:rFonts w:asciiTheme="minorHAnsi" w:hAnsiTheme="minorHAnsi" w:cstheme="minorHAnsi"/>
          <w:color w:val="333333"/>
        </w:rPr>
        <w:t xml:space="preserve">, ad esempio facilitando la migrazione al </w:t>
      </w:r>
      <w:proofErr w:type="spellStart"/>
      <w:r w:rsidRPr="00791CA3">
        <w:rPr>
          <w:rFonts w:asciiTheme="minorHAnsi" w:hAnsiTheme="minorHAnsi" w:cstheme="minorHAnsi"/>
          <w:color w:val="333333"/>
        </w:rPr>
        <w:t>cloud</w:t>
      </w:r>
      <w:proofErr w:type="spellEnd"/>
      <w:r w:rsidRPr="00791CA3">
        <w:rPr>
          <w:rFonts w:asciiTheme="minorHAnsi" w:hAnsiTheme="minorHAnsi" w:cstheme="minorHAnsi"/>
          <w:color w:val="333333"/>
        </w:rPr>
        <w:t>. Per turismo e cultura, sono previsti interventi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di</w:t>
      </w:r>
      <w:r w:rsidRPr="00791CA3">
        <w:rPr>
          <w:rStyle w:val="Enfasigrassetto"/>
          <w:rFonts w:asciiTheme="minorHAnsi" w:hAnsiTheme="minorHAnsi" w:cstheme="minorHAnsi"/>
          <w:color w:val="333333"/>
        </w:rPr>
        <w:t> valorizzazione dei siti storici e di miglioramento delle strutture turistico-ricettive</w:t>
      </w:r>
      <w:r w:rsidRPr="00791CA3">
        <w:rPr>
          <w:rFonts w:asciiTheme="minorHAnsi" w:hAnsiTheme="minorHAnsi" w:cstheme="minorHAnsi"/>
          <w:color w:val="333333"/>
        </w:rPr>
        <w:t>.  </w:t>
      </w:r>
    </w:p>
    <w:p w14:paraId="79C7E073" w14:textId="096F5331" w:rsidR="009F4124" w:rsidRPr="00791CA3" w:rsidRDefault="009F4124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Per quanto riguarda le competenze digitali sono potenziate le piattaforme di istruzione ed educazione di aiuto all’inserimento nel mondo del lavoro </w:t>
      </w:r>
      <w:proofErr w:type="gramStart"/>
      <w:r>
        <w:rPr>
          <w:rFonts w:asciiTheme="minorHAnsi" w:hAnsiTheme="minorHAnsi" w:cstheme="minorHAnsi"/>
          <w:color w:val="333333"/>
        </w:rPr>
        <w:t>ed</w:t>
      </w:r>
      <w:proofErr w:type="gramEnd"/>
      <w:r>
        <w:rPr>
          <w:rFonts w:asciiTheme="minorHAnsi" w:hAnsiTheme="minorHAnsi" w:cstheme="minorHAnsi"/>
          <w:color w:val="333333"/>
        </w:rPr>
        <w:t xml:space="preserve"> viene istituito il </w:t>
      </w:r>
      <w:r w:rsidRPr="00B4098D">
        <w:rPr>
          <w:rFonts w:asciiTheme="minorHAnsi" w:hAnsiTheme="minorHAnsi" w:cstheme="minorHAnsi"/>
          <w:b/>
          <w:bCs/>
          <w:color w:val="333333"/>
        </w:rPr>
        <w:t>Servizio Civile digitale</w:t>
      </w:r>
      <w:r>
        <w:rPr>
          <w:rFonts w:asciiTheme="minorHAnsi" w:hAnsiTheme="minorHAnsi" w:cstheme="minorHAnsi"/>
          <w:b/>
          <w:bCs/>
          <w:color w:val="333333"/>
        </w:rPr>
        <w:t>.</w:t>
      </w:r>
    </w:p>
    <w:p w14:paraId="42B50652" w14:textId="77777777" w:rsidR="000B5642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La seconda missione, “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Rivoluzione Verde e Transizione Ecologica</w:t>
      </w:r>
      <w:r w:rsidRPr="00791CA3">
        <w:rPr>
          <w:rFonts w:asciiTheme="minorHAnsi" w:hAnsiTheme="minorHAnsi" w:cstheme="minorHAnsi"/>
          <w:color w:val="333333"/>
        </w:rPr>
        <w:t>”, stanzia complessivamente</w:t>
      </w:r>
      <w:r w:rsidRPr="00791CA3">
        <w:rPr>
          <w:rStyle w:val="Enfasigrassetto"/>
          <w:rFonts w:asciiTheme="minorHAnsi" w:hAnsiTheme="minorHAnsi" w:cstheme="minorHAnsi"/>
          <w:color w:val="333333"/>
        </w:rPr>
        <w:t> 6</w:t>
      </w:r>
      <w:r w:rsidR="002053A4">
        <w:rPr>
          <w:rStyle w:val="Enfasigrassetto"/>
          <w:rFonts w:asciiTheme="minorHAnsi" w:hAnsiTheme="minorHAnsi" w:cstheme="minorHAnsi"/>
          <w:color w:val="333333"/>
        </w:rPr>
        <w:t>9</w:t>
      </w:r>
      <w:r w:rsidRPr="00791CA3">
        <w:rPr>
          <w:rStyle w:val="Enfasigrassetto"/>
          <w:rFonts w:asciiTheme="minorHAnsi" w:hAnsiTheme="minorHAnsi" w:cstheme="minorHAnsi"/>
          <w:color w:val="333333"/>
        </w:rPr>
        <w:t>,</w:t>
      </w:r>
      <w:r w:rsidR="002053A4">
        <w:rPr>
          <w:rStyle w:val="Enfasigrassetto"/>
          <w:rFonts w:asciiTheme="minorHAnsi" w:hAnsiTheme="minorHAnsi" w:cstheme="minorHAnsi"/>
          <w:color w:val="333333"/>
        </w:rPr>
        <w:t xml:space="preserve">94 </w:t>
      </w:r>
      <w:r w:rsidRPr="00791CA3">
        <w:rPr>
          <w:rStyle w:val="Enfasigrassetto"/>
          <w:rFonts w:asciiTheme="minorHAnsi" w:hAnsiTheme="minorHAnsi" w:cstheme="minorHAnsi"/>
          <w:color w:val="333333"/>
        </w:rPr>
        <w:t>miliardi </w:t>
      </w:r>
      <w:r w:rsidRPr="00791CA3">
        <w:rPr>
          <w:rFonts w:asciiTheme="minorHAnsi" w:hAnsiTheme="minorHAnsi" w:cstheme="minorHAnsi"/>
          <w:color w:val="333333"/>
        </w:rPr>
        <w:t>– di cui 59,</w:t>
      </w:r>
      <w:r w:rsidR="002053A4">
        <w:rPr>
          <w:rFonts w:asciiTheme="minorHAnsi" w:hAnsiTheme="minorHAnsi" w:cstheme="minorHAnsi"/>
          <w:color w:val="333333"/>
        </w:rPr>
        <w:t>47</w:t>
      </w:r>
      <w:r w:rsidRPr="00791CA3">
        <w:rPr>
          <w:rFonts w:asciiTheme="minorHAnsi" w:hAnsiTheme="minorHAnsi" w:cstheme="minorHAnsi"/>
          <w:color w:val="333333"/>
        </w:rPr>
        <w:t xml:space="preserve"> miliardi dal Dispositivo per la Ripresa e la Resilienza</w:t>
      </w:r>
      <w:r w:rsidR="000B5642">
        <w:rPr>
          <w:rFonts w:asciiTheme="minorHAnsi" w:hAnsiTheme="minorHAnsi" w:cstheme="minorHAnsi"/>
          <w:color w:val="333333"/>
        </w:rPr>
        <w:t>, 1,31 miliardi da REACT EU</w:t>
      </w:r>
      <w:r w:rsidRPr="00791CA3">
        <w:rPr>
          <w:rFonts w:asciiTheme="minorHAnsi" w:hAnsiTheme="minorHAnsi" w:cstheme="minorHAnsi"/>
          <w:color w:val="333333"/>
        </w:rPr>
        <w:t xml:space="preserve"> e 9</w:t>
      </w:r>
      <w:r w:rsidR="002053A4">
        <w:rPr>
          <w:rFonts w:asciiTheme="minorHAnsi" w:hAnsiTheme="minorHAnsi" w:cstheme="minorHAnsi"/>
          <w:color w:val="333333"/>
        </w:rPr>
        <w:t>,16</w:t>
      </w:r>
      <w:r w:rsidRPr="00791CA3">
        <w:rPr>
          <w:rFonts w:asciiTheme="minorHAnsi" w:hAnsiTheme="minorHAnsi" w:cstheme="minorHAnsi"/>
          <w:color w:val="333333"/>
        </w:rPr>
        <w:t xml:space="preserve"> miliardi dal Fondo.</w:t>
      </w:r>
    </w:p>
    <w:p w14:paraId="078D32F9" w14:textId="2BFDCD2D" w:rsidR="0043526E" w:rsidRPr="00791CA3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br/>
        <w:t>I suoi obiettivi sono migliorare la sostenibilità e la resilienza del sistema economico e assicurare una transizione ambientale equa e inclusiva. 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prevede investimenti e riforme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per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l’economia circolare e la gestione dei rifiuti</w:t>
      </w:r>
      <w:r w:rsidRPr="00791CA3">
        <w:rPr>
          <w:rFonts w:asciiTheme="minorHAnsi" w:hAnsiTheme="minorHAnsi" w:cstheme="minorHAnsi"/>
          <w:color w:val="333333"/>
        </w:rPr>
        <w:t>, per raggiungere target ambiziosi come il 65 per cento di riciclo dei rifiuti plastici e il 100 per cento di recupero nel settore tessile.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stanzia risorse per</w:t>
      </w:r>
      <w:r w:rsidRPr="00791CA3">
        <w:rPr>
          <w:rStyle w:val="Enfasigrassetto"/>
          <w:rFonts w:asciiTheme="minorHAnsi" w:hAnsiTheme="minorHAnsi" w:cstheme="minorHAnsi"/>
          <w:color w:val="333333"/>
        </w:rPr>
        <w:t> il rinnovo del trasporto pubblico locale</w:t>
      </w:r>
      <w:r w:rsidRPr="00791CA3">
        <w:rPr>
          <w:rFonts w:asciiTheme="minorHAnsi" w:hAnsiTheme="minorHAnsi" w:cstheme="minorHAnsi"/>
          <w:color w:val="333333"/>
        </w:rPr>
        <w:t>, con l’acquisto di bus a bassa emissione, e per il rinnovo di parte della flotta di treni per il trasporto regionale con mezzi a propulsione alternativa.</w:t>
      </w:r>
      <w:r w:rsidRPr="00791CA3">
        <w:rPr>
          <w:rFonts w:asciiTheme="minorHAnsi" w:hAnsiTheme="minorHAnsi" w:cstheme="minorHAnsi"/>
          <w:color w:val="333333"/>
        </w:rPr>
        <w:br/>
        <w:t>Sono previsti corposi incentivi fiscali per</w:t>
      </w:r>
      <w:r w:rsidRPr="00791CA3">
        <w:rPr>
          <w:rStyle w:val="Enfasigrassetto"/>
          <w:rFonts w:asciiTheme="minorHAnsi" w:hAnsiTheme="minorHAnsi" w:cstheme="minorHAnsi"/>
          <w:color w:val="333333"/>
        </w:rPr>
        <w:t> incrementare l’efficienza energetica di edifici privati e pubblici</w:t>
      </w:r>
      <w:r w:rsidRPr="00791CA3">
        <w:rPr>
          <w:rFonts w:asciiTheme="minorHAnsi" w:hAnsiTheme="minorHAnsi" w:cstheme="minorHAnsi"/>
          <w:color w:val="333333"/>
        </w:rPr>
        <w:t>. Le misure consentono la ristrutturazione di circa 50.000 edifici l’anno. </w:t>
      </w:r>
      <w:r w:rsidRPr="00791CA3">
        <w:rPr>
          <w:rFonts w:asciiTheme="minorHAnsi" w:hAnsiTheme="minorHAnsi" w:cstheme="minorHAnsi"/>
          <w:color w:val="333333"/>
        </w:rPr>
        <w:br/>
        <w:t>Il Governo prevede importanti investimenti nelle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fonti di energia rinnovabile</w:t>
      </w:r>
      <w:r w:rsidRPr="00791CA3">
        <w:rPr>
          <w:rFonts w:asciiTheme="minorHAnsi" w:hAnsiTheme="minorHAnsi" w:cstheme="minorHAnsi"/>
          <w:color w:val="333333"/>
        </w:rPr>
        <w:t> e semplifica le procedure di autorizzazione nel settore. Si sostiene la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filiera dell’idrogeno</w:t>
      </w:r>
      <w:r w:rsidRPr="00791CA3">
        <w:rPr>
          <w:rFonts w:asciiTheme="minorHAnsi" w:hAnsiTheme="minorHAnsi" w:cstheme="minorHAnsi"/>
          <w:color w:val="333333"/>
        </w:rPr>
        <w:t>, e in particolare la ricerca di frontiera, la sua produzione e l’uso locale nell’industria e nel trasporto.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investe nelle</w:t>
      </w:r>
      <w:r w:rsidRPr="00791CA3">
        <w:rPr>
          <w:rStyle w:val="Enfasigrassetto"/>
          <w:rFonts w:asciiTheme="minorHAnsi" w:hAnsiTheme="minorHAnsi" w:cstheme="minorHAnsi"/>
          <w:color w:val="333333"/>
        </w:rPr>
        <w:t> infrastrutture idriche</w:t>
      </w:r>
      <w:r w:rsidRPr="00791CA3">
        <w:rPr>
          <w:rFonts w:asciiTheme="minorHAnsi" w:hAnsiTheme="minorHAnsi" w:cstheme="minorHAnsi"/>
          <w:color w:val="333333"/>
        </w:rPr>
        <w:t>, con l’obiettivo di ridurre le perdite nelle reti per l’acqua potabile del 15 per cento, e nella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riduzione del dissesto idrogeologico</w:t>
      </w:r>
      <w:r w:rsidRPr="00791CA3">
        <w:rPr>
          <w:rFonts w:asciiTheme="minorHAnsi" w:hAnsiTheme="minorHAnsi" w:cstheme="minorHAnsi"/>
          <w:color w:val="333333"/>
        </w:rPr>
        <w:t>.</w:t>
      </w:r>
    </w:p>
    <w:p w14:paraId="4EE92DA2" w14:textId="649A5D2C" w:rsidR="0043526E" w:rsidRPr="00791CA3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La terza missione, “</w:t>
      </w:r>
      <w:r w:rsidRPr="00791CA3">
        <w:rPr>
          <w:rStyle w:val="Enfasigrassetto"/>
          <w:rFonts w:asciiTheme="minorHAnsi" w:hAnsiTheme="minorHAnsi" w:cstheme="minorHAnsi"/>
          <w:color w:val="333333"/>
        </w:rPr>
        <w:t>Infrastrutture per una Mobilità Sostenibile</w:t>
      </w:r>
      <w:r w:rsidRPr="00791CA3">
        <w:rPr>
          <w:rFonts w:asciiTheme="minorHAnsi" w:hAnsiTheme="minorHAnsi" w:cstheme="minorHAnsi"/>
          <w:color w:val="333333"/>
        </w:rPr>
        <w:t>”, stanzia complessivamente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31,4</w:t>
      </w:r>
      <w:r w:rsidR="000B5642">
        <w:rPr>
          <w:rStyle w:val="Enfasigrassetto"/>
          <w:rFonts w:asciiTheme="minorHAnsi" w:hAnsiTheme="minorHAnsi" w:cstheme="minorHAnsi"/>
          <w:color w:val="333333"/>
        </w:rPr>
        <w:t>6</w:t>
      </w:r>
      <w:r w:rsidRPr="00791CA3">
        <w:rPr>
          <w:rStyle w:val="Enfasigrassetto"/>
          <w:rFonts w:asciiTheme="minorHAnsi" w:hAnsiTheme="minorHAnsi" w:cstheme="minorHAnsi"/>
          <w:color w:val="333333"/>
        </w:rPr>
        <w:t xml:space="preserve"> miliardi</w:t>
      </w:r>
      <w:r w:rsidRPr="00791CA3">
        <w:rPr>
          <w:rFonts w:asciiTheme="minorHAnsi" w:hAnsiTheme="minorHAnsi" w:cstheme="minorHAnsi"/>
          <w:color w:val="333333"/>
        </w:rPr>
        <w:t> – di cui 25,</w:t>
      </w:r>
      <w:r w:rsidR="002053A4">
        <w:rPr>
          <w:rFonts w:asciiTheme="minorHAnsi" w:hAnsiTheme="minorHAnsi" w:cstheme="minorHAnsi"/>
          <w:color w:val="333333"/>
        </w:rPr>
        <w:t>4</w:t>
      </w:r>
      <w:r w:rsidRPr="00791CA3">
        <w:rPr>
          <w:rFonts w:asciiTheme="minorHAnsi" w:hAnsiTheme="minorHAnsi" w:cstheme="minorHAnsi"/>
          <w:color w:val="333333"/>
        </w:rPr>
        <w:t xml:space="preserve"> miliardi dal Dispositivo per la Ripresa e la Resilienza e 6</w:t>
      </w:r>
      <w:r w:rsidR="000B5642">
        <w:rPr>
          <w:rFonts w:asciiTheme="minorHAnsi" w:hAnsiTheme="minorHAnsi" w:cstheme="minorHAnsi"/>
          <w:color w:val="333333"/>
        </w:rPr>
        <w:t>,06</w:t>
      </w:r>
      <w:r w:rsidRPr="00791CA3">
        <w:rPr>
          <w:rFonts w:asciiTheme="minorHAnsi" w:hAnsiTheme="minorHAnsi" w:cstheme="minorHAnsi"/>
          <w:color w:val="333333"/>
        </w:rPr>
        <w:t xml:space="preserve"> miliardi dal Fondo.</w:t>
      </w:r>
      <w:r w:rsidRPr="00791CA3">
        <w:rPr>
          <w:rFonts w:asciiTheme="minorHAnsi" w:hAnsiTheme="minorHAnsi" w:cstheme="minorHAnsi"/>
          <w:color w:val="333333"/>
        </w:rPr>
        <w:br/>
        <w:t>Il suo obiettivo primario è lo sviluppo razionale di un’infrastruttura di trasporto moderna, sostenibile e</w:t>
      </w:r>
      <w:r w:rsidR="009F4124">
        <w:rPr>
          <w:rFonts w:asciiTheme="minorHAnsi" w:hAnsiTheme="minorHAnsi" w:cstheme="minorHAnsi"/>
          <w:color w:val="333333"/>
        </w:rPr>
        <w:t>d</w:t>
      </w:r>
      <w:r w:rsidRPr="00791CA3">
        <w:rPr>
          <w:rFonts w:asciiTheme="minorHAnsi" w:hAnsiTheme="minorHAnsi" w:cstheme="minorHAnsi"/>
          <w:color w:val="333333"/>
        </w:rPr>
        <w:t xml:space="preserve"> estesa a tutte le aree del Paese. Il Piano prevede un importante investimento nei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trasporti ferroviari ad alta velocità</w:t>
      </w:r>
      <w:r w:rsidRPr="00791CA3">
        <w:rPr>
          <w:rFonts w:asciiTheme="minorHAnsi" w:hAnsiTheme="minorHAnsi" w:cstheme="minorHAnsi"/>
          <w:color w:val="333333"/>
        </w:rPr>
        <w:t>. A regime, vengono consentiti significativi miglioramenti nei tempi di percorrenza, soprattutto nel centro-sud. Ad esempio, si risparmierà 1 ora e 30 minuti sulla tratta Napoli-Bari, 1 ora e 20 minuti sulla tratta Roma-Pescara, e 1 ora sulla tratta Palermo-Catania. Il Governo investe inoltre nella modernizzazione e il potenziamento delle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linee ferroviarie regionali</w:t>
      </w:r>
      <w:r w:rsidRPr="00791CA3">
        <w:rPr>
          <w:rFonts w:asciiTheme="minorHAnsi" w:hAnsiTheme="minorHAnsi" w:cstheme="minorHAnsi"/>
          <w:color w:val="333333"/>
        </w:rPr>
        <w:t>, sul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sistema portuale</w:t>
      </w:r>
      <w:r w:rsidRPr="00791CA3">
        <w:rPr>
          <w:rFonts w:asciiTheme="minorHAnsi" w:hAnsiTheme="minorHAnsi" w:cstheme="minorHAnsi"/>
          <w:color w:val="333333"/>
        </w:rPr>
        <w:t> e nella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digitalizzazione della catena logistica</w:t>
      </w:r>
      <w:r w:rsidRPr="00791CA3">
        <w:rPr>
          <w:rFonts w:asciiTheme="minorHAnsi" w:hAnsiTheme="minorHAnsi" w:cstheme="minorHAnsi"/>
          <w:color w:val="333333"/>
        </w:rPr>
        <w:t>. </w:t>
      </w:r>
    </w:p>
    <w:p w14:paraId="7C4302F5" w14:textId="77777777" w:rsidR="000B5642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La quarta missione, “</w:t>
      </w:r>
      <w:r w:rsidRPr="00791CA3">
        <w:rPr>
          <w:rStyle w:val="Enfasigrassetto"/>
          <w:rFonts w:asciiTheme="minorHAnsi" w:hAnsiTheme="minorHAnsi" w:cstheme="minorHAnsi"/>
          <w:color w:val="333333"/>
        </w:rPr>
        <w:t>Istruzione e Ricerca</w:t>
      </w:r>
      <w:r w:rsidRPr="00791CA3">
        <w:rPr>
          <w:rFonts w:asciiTheme="minorHAnsi" w:hAnsiTheme="minorHAnsi" w:cstheme="minorHAnsi"/>
          <w:color w:val="333333"/>
        </w:rPr>
        <w:t>”, stanzia complessivamente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3</w:t>
      </w:r>
      <w:r w:rsidR="009F4124">
        <w:rPr>
          <w:rStyle w:val="Enfasigrassetto"/>
          <w:rFonts w:asciiTheme="minorHAnsi" w:hAnsiTheme="minorHAnsi" w:cstheme="minorHAnsi"/>
          <w:color w:val="333333"/>
        </w:rPr>
        <w:t>3,8</w:t>
      </w:r>
      <w:r w:rsidR="000B5642">
        <w:rPr>
          <w:rStyle w:val="Enfasigrassetto"/>
          <w:rFonts w:asciiTheme="minorHAnsi" w:hAnsiTheme="minorHAnsi" w:cstheme="minorHAnsi"/>
          <w:color w:val="333333"/>
        </w:rPr>
        <w:t>1</w:t>
      </w:r>
      <w:r w:rsidRPr="00791CA3">
        <w:rPr>
          <w:rStyle w:val="Enfasigrassetto"/>
          <w:rFonts w:asciiTheme="minorHAnsi" w:hAnsiTheme="minorHAnsi" w:cstheme="minorHAnsi"/>
          <w:color w:val="333333"/>
        </w:rPr>
        <w:t xml:space="preserve"> miliardi di euro</w:t>
      </w:r>
      <w:r w:rsidRPr="00791CA3">
        <w:rPr>
          <w:rFonts w:asciiTheme="minorHAnsi" w:hAnsiTheme="minorHAnsi" w:cstheme="minorHAnsi"/>
          <w:color w:val="333333"/>
        </w:rPr>
        <w:t> – di cui 30,</w:t>
      </w:r>
      <w:r w:rsidR="000B5642">
        <w:rPr>
          <w:rFonts w:asciiTheme="minorHAnsi" w:hAnsiTheme="minorHAnsi" w:cstheme="minorHAnsi"/>
          <w:color w:val="333333"/>
        </w:rPr>
        <w:t>88</w:t>
      </w:r>
      <w:r w:rsidRPr="00791CA3">
        <w:rPr>
          <w:rFonts w:asciiTheme="minorHAnsi" w:hAnsiTheme="minorHAnsi" w:cstheme="minorHAnsi"/>
          <w:color w:val="333333"/>
        </w:rPr>
        <w:t xml:space="preserve"> miliardi dal Dispositivo per la Ripresa e la Resilienza</w:t>
      </w:r>
      <w:r w:rsidR="000B5642">
        <w:rPr>
          <w:rFonts w:asciiTheme="minorHAnsi" w:hAnsiTheme="minorHAnsi" w:cstheme="minorHAnsi"/>
          <w:color w:val="333333"/>
        </w:rPr>
        <w:t>, 1,93 miliardi da REACT EU</w:t>
      </w:r>
      <w:r w:rsidRPr="00791CA3">
        <w:rPr>
          <w:rFonts w:asciiTheme="minorHAnsi" w:hAnsiTheme="minorHAnsi" w:cstheme="minorHAnsi"/>
          <w:color w:val="333333"/>
        </w:rPr>
        <w:t xml:space="preserve"> e 1 miliardo dal Fondo.</w:t>
      </w:r>
    </w:p>
    <w:p w14:paraId="62887C03" w14:textId="2842D92D" w:rsidR="0043526E" w:rsidRPr="00791CA3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Il suo obiettivo è rafforzare il sistema educativo, le competenze digitali e tecnico-scientifiche, la ricerca e il trasferimento tecnologico.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investe negli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asili nido</w:t>
      </w:r>
      <w:r w:rsidRPr="00791CA3">
        <w:rPr>
          <w:rFonts w:asciiTheme="minorHAnsi" w:hAnsiTheme="minorHAnsi" w:cstheme="minorHAnsi"/>
          <w:color w:val="333333"/>
        </w:rPr>
        <w:t>, nelle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scuole materne</w:t>
      </w:r>
      <w:r w:rsidRPr="00791CA3">
        <w:rPr>
          <w:rFonts w:asciiTheme="minorHAnsi" w:hAnsiTheme="minorHAnsi" w:cstheme="minorHAnsi"/>
          <w:color w:val="333333"/>
        </w:rPr>
        <w:t>, nei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servizi di educazione e cura per l’infanzia</w:t>
      </w:r>
      <w:r w:rsidRPr="00791CA3">
        <w:rPr>
          <w:rFonts w:asciiTheme="minorHAnsi" w:hAnsiTheme="minorHAnsi" w:cstheme="minorHAnsi"/>
          <w:color w:val="333333"/>
        </w:rPr>
        <w:t>. Crea 152.000 posti per i bambini fino a 3 anni e 76.000 per i bambini tra i 3 e i 6 anni.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Governo investe nel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risanamento strutturale degli edifici scolastici</w:t>
      </w:r>
      <w:r w:rsidRPr="00791CA3">
        <w:rPr>
          <w:rFonts w:asciiTheme="minorHAnsi" w:hAnsiTheme="minorHAnsi" w:cstheme="minorHAnsi"/>
          <w:color w:val="333333"/>
        </w:rPr>
        <w:t>, con l’obiettivo di ristrutturare una superficie complessiva di 2.400.000 metri quadri.</w:t>
      </w:r>
      <w:r w:rsidRPr="00791CA3">
        <w:rPr>
          <w:rFonts w:asciiTheme="minorHAnsi" w:hAnsiTheme="minorHAnsi" w:cstheme="minorHAnsi"/>
          <w:color w:val="333333"/>
        </w:rPr>
        <w:br/>
        <w:t>Inoltre, si prevede una</w:t>
      </w:r>
      <w:r w:rsidRPr="00791CA3">
        <w:rPr>
          <w:rStyle w:val="Enfasigrassetto"/>
          <w:rFonts w:asciiTheme="minorHAnsi" w:hAnsiTheme="minorHAnsi" w:cstheme="minorHAnsi"/>
          <w:color w:val="333333"/>
        </w:rPr>
        <w:t> riforma dell’orientamento, dei programmi di dottorato e dei corsi di laurea</w:t>
      </w:r>
      <w:r w:rsidRPr="00791CA3">
        <w:rPr>
          <w:rFonts w:asciiTheme="minorHAnsi" w:hAnsiTheme="minorHAnsi" w:cstheme="minorHAnsi"/>
          <w:color w:val="333333"/>
        </w:rPr>
        <w:t>, ad esempio con l’aggiornamento della disciplina dei dottorati e un loro aumento di circa 3.000 unità.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Si sviluppa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l’istruzione professionalizzante</w:t>
      </w:r>
      <w:r w:rsidRPr="00791CA3">
        <w:rPr>
          <w:rFonts w:asciiTheme="minorHAnsi" w:hAnsiTheme="minorHAnsi" w:cstheme="minorHAnsi"/>
          <w:color w:val="333333"/>
        </w:rPr>
        <w:t> e si rafforza la filiera della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ricerca e del trasferimento tecnologico</w:t>
      </w:r>
      <w:r w:rsidRPr="00791CA3">
        <w:rPr>
          <w:rFonts w:asciiTheme="minorHAnsi" w:hAnsiTheme="minorHAnsi" w:cstheme="minorHAnsi"/>
          <w:color w:val="333333"/>
        </w:rPr>
        <w:t>.</w:t>
      </w:r>
    </w:p>
    <w:p w14:paraId="290A68F7" w14:textId="0A41A6CD" w:rsidR="0043526E" w:rsidRPr="00791CA3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La quinta missione, “</w:t>
      </w:r>
      <w:r w:rsidRPr="00791CA3">
        <w:rPr>
          <w:rStyle w:val="Enfasigrassetto"/>
          <w:rFonts w:asciiTheme="minorHAnsi" w:hAnsiTheme="minorHAnsi" w:cstheme="minorHAnsi"/>
          <w:color w:val="333333"/>
        </w:rPr>
        <w:t>Inclusione e Coesione</w:t>
      </w:r>
      <w:r w:rsidRPr="00791CA3">
        <w:rPr>
          <w:rFonts w:asciiTheme="minorHAnsi" w:hAnsiTheme="minorHAnsi" w:cstheme="minorHAnsi"/>
          <w:color w:val="333333"/>
        </w:rPr>
        <w:t>”, stanzia complessivamente </w:t>
      </w:r>
      <w:r w:rsidR="009F4124">
        <w:rPr>
          <w:rStyle w:val="Enfasigrassetto"/>
          <w:rFonts w:asciiTheme="minorHAnsi" w:hAnsiTheme="minorHAnsi" w:cstheme="minorHAnsi"/>
          <w:color w:val="333333"/>
        </w:rPr>
        <w:t>29,83</w:t>
      </w:r>
      <w:r w:rsidRPr="00791CA3">
        <w:rPr>
          <w:rStyle w:val="Enfasigrassetto"/>
          <w:rFonts w:asciiTheme="minorHAnsi" w:hAnsiTheme="minorHAnsi" w:cstheme="minorHAnsi"/>
          <w:color w:val="333333"/>
        </w:rPr>
        <w:t xml:space="preserve"> miliardi </w:t>
      </w:r>
      <w:r w:rsidRPr="00791CA3">
        <w:rPr>
          <w:rFonts w:asciiTheme="minorHAnsi" w:hAnsiTheme="minorHAnsi" w:cstheme="minorHAnsi"/>
          <w:color w:val="333333"/>
        </w:rPr>
        <w:t>– di cui 19,8</w:t>
      </w:r>
      <w:r w:rsidR="000B5642">
        <w:rPr>
          <w:rFonts w:asciiTheme="minorHAnsi" w:hAnsiTheme="minorHAnsi" w:cstheme="minorHAnsi"/>
          <w:color w:val="333333"/>
        </w:rPr>
        <w:t>1</w:t>
      </w:r>
      <w:r w:rsidRPr="00791CA3">
        <w:rPr>
          <w:rFonts w:asciiTheme="minorHAnsi" w:hAnsiTheme="minorHAnsi" w:cstheme="minorHAnsi"/>
          <w:color w:val="333333"/>
        </w:rPr>
        <w:t xml:space="preserve"> miliardi dal Dispositivo per la Ripresa e la Resilienza</w:t>
      </w:r>
      <w:r w:rsidR="000B5642">
        <w:rPr>
          <w:rFonts w:asciiTheme="minorHAnsi" w:hAnsiTheme="minorHAnsi" w:cstheme="minorHAnsi"/>
          <w:color w:val="333333"/>
        </w:rPr>
        <w:t>, 7,25 miliardi da REACT EU</w:t>
      </w:r>
      <w:r w:rsidRPr="00791CA3">
        <w:rPr>
          <w:rFonts w:asciiTheme="minorHAnsi" w:hAnsiTheme="minorHAnsi" w:cstheme="minorHAnsi"/>
          <w:color w:val="333333"/>
        </w:rPr>
        <w:t xml:space="preserve"> e 2,</w:t>
      </w:r>
      <w:r w:rsidR="000B5642">
        <w:rPr>
          <w:rFonts w:asciiTheme="minorHAnsi" w:hAnsiTheme="minorHAnsi" w:cstheme="minorHAnsi"/>
          <w:color w:val="333333"/>
        </w:rPr>
        <w:t>77</w:t>
      </w:r>
      <w:r w:rsidRPr="00791CA3">
        <w:rPr>
          <w:rFonts w:asciiTheme="minorHAnsi" w:hAnsiTheme="minorHAnsi" w:cstheme="minorHAnsi"/>
          <w:color w:val="333333"/>
        </w:rPr>
        <w:t xml:space="preserve"> miliardi dal </w:t>
      </w:r>
      <w:r w:rsidRPr="00791CA3">
        <w:rPr>
          <w:rFonts w:asciiTheme="minorHAnsi" w:hAnsiTheme="minorHAnsi" w:cstheme="minorHAnsi"/>
          <w:color w:val="333333"/>
        </w:rPr>
        <w:lastRenderedPageBreak/>
        <w:t>Fondo.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suo obiettivo è facilitare la partecipazione al mercato del lavoro, anche attraverso la formazione, rafforzare le politiche attive del lavoro e favorire l’inclusione sociale. Il Governo investe nello sviluppo dei </w:t>
      </w:r>
      <w:r w:rsidR="009F4124">
        <w:rPr>
          <w:rStyle w:val="Enfasigrassetto"/>
          <w:rFonts w:asciiTheme="minorHAnsi" w:hAnsiTheme="minorHAnsi" w:cstheme="minorHAnsi"/>
          <w:color w:val="333333"/>
        </w:rPr>
        <w:t>C</w:t>
      </w:r>
      <w:r w:rsidRPr="00791CA3">
        <w:rPr>
          <w:rStyle w:val="Enfasigrassetto"/>
          <w:rFonts w:asciiTheme="minorHAnsi" w:hAnsiTheme="minorHAnsi" w:cstheme="minorHAnsi"/>
          <w:color w:val="333333"/>
        </w:rPr>
        <w:t>entri per l’impiego</w:t>
      </w:r>
      <w:r w:rsidRPr="00791CA3">
        <w:rPr>
          <w:rFonts w:asciiTheme="minorHAnsi" w:hAnsiTheme="minorHAnsi" w:cstheme="minorHAnsi"/>
          <w:color w:val="333333"/>
        </w:rPr>
        <w:t> 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nell’imprenditorialità femminile</w:t>
      </w:r>
      <w:r w:rsidRPr="00791CA3">
        <w:rPr>
          <w:rFonts w:asciiTheme="minorHAnsi" w:hAnsiTheme="minorHAnsi" w:cstheme="minorHAnsi"/>
          <w:color w:val="333333"/>
        </w:rPr>
        <w:t>, con la creazione di un nuovo Fondo Impresa Donna.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Si rafforzano i servizi sociali e gli interventi per le vulnerabilità, ad esempio con interventi dei Comuni per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favorire una vita autonoma alle persone con disabilità</w:t>
      </w:r>
      <w:r w:rsidRPr="00791CA3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Sono previsti investimenti infrastrutturali per le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Zone Economiche Speciali</w:t>
      </w:r>
      <w:r w:rsidRPr="00791CA3">
        <w:rPr>
          <w:rFonts w:asciiTheme="minorHAnsi" w:hAnsiTheme="minorHAnsi" w:cstheme="minorHAnsi"/>
          <w:color w:val="333333"/>
        </w:rPr>
        <w:t> e interventi di rigenerazione urbana per le periferie delle città metropolitane. </w:t>
      </w:r>
    </w:p>
    <w:p w14:paraId="0F699876" w14:textId="6BA53BE6" w:rsidR="0043526E" w:rsidRPr="00791CA3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La sesta missione, “</w:t>
      </w:r>
      <w:r w:rsidRPr="00791CA3">
        <w:rPr>
          <w:rStyle w:val="Enfasigrassetto"/>
          <w:rFonts w:asciiTheme="minorHAnsi" w:hAnsiTheme="minorHAnsi" w:cstheme="minorHAnsi"/>
          <w:color w:val="333333"/>
        </w:rPr>
        <w:t>Salute</w:t>
      </w:r>
      <w:r w:rsidRPr="00791CA3">
        <w:rPr>
          <w:rFonts w:asciiTheme="minorHAnsi" w:hAnsiTheme="minorHAnsi" w:cstheme="minorHAnsi"/>
          <w:color w:val="333333"/>
        </w:rPr>
        <w:t>”, stanzia complessivamente </w:t>
      </w:r>
      <w:r w:rsidR="009F4124">
        <w:rPr>
          <w:rStyle w:val="Enfasigrassetto"/>
          <w:rFonts w:asciiTheme="minorHAnsi" w:hAnsiTheme="minorHAnsi" w:cstheme="minorHAnsi"/>
          <w:color w:val="333333"/>
        </w:rPr>
        <w:t>20,23</w:t>
      </w:r>
      <w:r w:rsidRPr="00791CA3">
        <w:rPr>
          <w:rStyle w:val="Enfasigrassetto"/>
          <w:rFonts w:asciiTheme="minorHAnsi" w:hAnsiTheme="minorHAnsi" w:cstheme="minorHAnsi"/>
          <w:color w:val="333333"/>
        </w:rPr>
        <w:t xml:space="preserve"> miliardi</w:t>
      </w:r>
      <w:r w:rsidRPr="00791CA3">
        <w:rPr>
          <w:rFonts w:asciiTheme="minorHAnsi" w:hAnsiTheme="minorHAnsi" w:cstheme="minorHAnsi"/>
          <w:color w:val="333333"/>
        </w:rPr>
        <w:t>, di cui 15,6</w:t>
      </w:r>
      <w:r w:rsidR="000B5642">
        <w:rPr>
          <w:rFonts w:asciiTheme="minorHAnsi" w:hAnsiTheme="minorHAnsi" w:cstheme="minorHAnsi"/>
          <w:color w:val="333333"/>
        </w:rPr>
        <w:t>3</w:t>
      </w:r>
      <w:r w:rsidRPr="00791CA3">
        <w:rPr>
          <w:rFonts w:asciiTheme="minorHAnsi" w:hAnsiTheme="minorHAnsi" w:cstheme="minorHAnsi"/>
          <w:color w:val="333333"/>
        </w:rPr>
        <w:t xml:space="preserve"> miliardi dal Dispositivo per la Ripresa e la Resilienza</w:t>
      </w:r>
      <w:r w:rsidR="000B5642">
        <w:rPr>
          <w:rFonts w:asciiTheme="minorHAnsi" w:hAnsiTheme="minorHAnsi" w:cstheme="minorHAnsi"/>
          <w:color w:val="333333"/>
        </w:rPr>
        <w:t>, 1,71 miliardi da REACT EU</w:t>
      </w:r>
      <w:r w:rsidRPr="00791CA3">
        <w:rPr>
          <w:rFonts w:asciiTheme="minorHAnsi" w:hAnsiTheme="minorHAnsi" w:cstheme="minorHAnsi"/>
          <w:color w:val="333333"/>
        </w:rPr>
        <w:t xml:space="preserve"> e 2,</w:t>
      </w:r>
      <w:r w:rsidR="000B5642">
        <w:rPr>
          <w:rFonts w:asciiTheme="minorHAnsi" w:hAnsiTheme="minorHAnsi" w:cstheme="minorHAnsi"/>
          <w:color w:val="333333"/>
        </w:rPr>
        <w:t>8</w:t>
      </w:r>
      <w:bookmarkStart w:id="0" w:name="_GoBack"/>
      <w:bookmarkEnd w:id="0"/>
      <w:r w:rsidR="009F4124">
        <w:rPr>
          <w:rFonts w:asciiTheme="minorHAnsi" w:hAnsiTheme="minorHAnsi" w:cstheme="minorHAnsi"/>
          <w:color w:val="333333"/>
        </w:rPr>
        <w:t>9</w:t>
      </w:r>
      <w:r w:rsidRPr="00791CA3">
        <w:rPr>
          <w:rFonts w:asciiTheme="minorHAnsi" w:hAnsiTheme="minorHAnsi" w:cstheme="minorHAnsi"/>
          <w:color w:val="333333"/>
        </w:rPr>
        <w:t xml:space="preserve"> miliardi dal Fondo.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suo obiettivo è rafforzare la prevenzione e i servizi sanitari sul territorio, modernizzare e digitalizzare il sistema sanitario e garantire equità di accesso alle cure. Il Piano investe nell’</w:t>
      </w:r>
      <w:r w:rsidRPr="00791CA3">
        <w:rPr>
          <w:rStyle w:val="Enfasigrassetto"/>
          <w:rFonts w:asciiTheme="minorHAnsi" w:hAnsiTheme="minorHAnsi" w:cstheme="minorHAnsi"/>
          <w:color w:val="333333"/>
        </w:rPr>
        <w:t>assistenza di prossimità diffusa sul territorio</w:t>
      </w:r>
      <w:r w:rsidRPr="00791CA3">
        <w:rPr>
          <w:rFonts w:asciiTheme="minorHAnsi" w:hAnsiTheme="minorHAnsi" w:cstheme="minorHAnsi"/>
          <w:color w:val="333333"/>
        </w:rPr>
        <w:t> e attiva 1.288 Case di comunità e 381 Ospedali di comunità.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Si potenzia l’</w:t>
      </w:r>
      <w:r w:rsidRPr="00791CA3">
        <w:rPr>
          <w:rStyle w:val="Enfasigrassetto"/>
          <w:rFonts w:asciiTheme="minorHAnsi" w:hAnsiTheme="minorHAnsi" w:cstheme="minorHAnsi"/>
          <w:color w:val="333333"/>
        </w:rPr>
        <w:t>assistenza domiciliare</w:t>
      </w:r>
      <w:r w:rsidRPr="00791CA3">
        <w:rPr>
          <w:rFonts w:asciiTheme="minorHAnsi" w:hAnsiTheme="minorHAnsi" w:cstheme="minorHAnsi"/>
          <w:color w:val="333333"/>
        </w:rPr>
        <w:t> per raggiungere il 10 per cento della popolazione con più di 65 anni, la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telemedicina</w:t>
      </w:r>
      <w:r w:rsidRPr="00791CA3">
        <w:rPr>
          <w:rFonts w:asciiTheme="minorHAnsi" w:hAnsiTheme="minorHAnsi" w:cstheme="minorHAnsi"/>
          <w:color w:val="333333"/>
        </w:rPr>
        <w:t> e l’assistenza remota, con l’attivazione di 602 Centrali Operative Territoriali.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Governo investe nell’aggiornamento del parco tecnologico e delle attrezzatture per diagnosi e cura, con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l’acquisto di 3.133 nuove grandi attrezzature</w:t>
      </w:r>
      <w:r w:rsidRPr="00791CA3">
        <w:rPr>
          <w:rFonts w:asciiTheme="minorHAnsi" w:hAnsiTheme="minorHAnsi" w:cstheme="minorHAnsi"/>
          <w:color w:val="333333"/>
        </w:rPr>
        <w:t>, e nelle infrastrutture ospedaliere, ad esempio con interventi di adeguamento antisismico. 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rafforza l’infrastruttura tecnologica per la raccolta, l’elaborazione e l’analisi dei dati, inclusa la diffusione del Fascicolo Sanitario Elettronico.</w:t>
      </w:r>
    </w:p>
    <w:p w14:paraId="610A9A57" w14:textId="66C727E8" w:rsidR="0043526E" w:rsidRPr="00791CA3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Il Piano prevede</w:t>
      </w:r>
      <w:r w:rsidR="00E10A56">
        <w:rPr>
          <w:rFonts w:asciiTheme="minorHAnsi" w:hAnsiTheme="minorHAnsi" w:cstheme="minorHAnsi"/>
          <w:color w:val="333333"/>
        </w:rPr>
        <w:t xml:space="preserve"> necessariamente un </w:t>
      </w:r>
      <w:r w:rsidRPr="00791CA3">
        <w:rPr>
          <w:rFonts w:asciiTheme="minorHAnsi" w:hAnsiTheme="minorHAnsi" w:cstheme="minorHAnsi"/>
          <w:color w:val="333333"/>
        </w:rPr>
        <w:t>programma di riforme, per facilitare la sua attuazione e contribuire alla modernizzazione del Paese e all’attrazione degli investimenti.</w:t>
      </w:r>
      <w:r w:rsidRPr="00791CA3">
        <w:rPr>
          <w:rFonts w:asciiTheme="minorHAnsi" w:hAnsiTheme="minorHAnsi" w:cstheme="minorHAnsi"/>
          <w:color w:val="333333"/>
        </w:rPr>
        <w:br/>
        <w:t>La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riforma della Pubblica Amministrazione</w:t>
      </w:r>
      <w:r w:rsidRPr="00791CA3">
        <w:rPr>
          <w:rFonts w:asciiTheme="minorHAnsi" w:hAnsiTheme="minorHAnsi" w:cstheme="minorHAnsi"/>
          <w:color w:val="333333"/>
        </w:rPr>
        <w:t> affronta i problemi dell’assenza di ricambio generazionale, di scarso investimento sul capitale umano e di bassa digitalizzazione.</w:t>
      </w:r>
      <w:r w:rsidRPr="00791CA3">
        <w:rPr>
          <w:rFonts w:asciiTheme="minorHAnsi" w:hAnsiTheme="minorHAnsi" w:cstheme="minorHAnsi"/>
          <w:color w:val="333333"/>
        </w:rPr>
        <w:br/>
        <w:t>Il Piano prevede investimenti in una piattaforma unica di reclutamento, in corsi di formazione per il personale e nel rafforzamento e monitoraggio della capacità amministrativa. La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riforma della giustizia</w:t>
      </w:r>
      <w:r w:rsidRPr="00791CA3">
        <w:rPr>
          <w:rFonts w:asciiTheme="minorHAnsi" w:hAnsiTheme="minorHAnsi" w:cstheme="minorHAnsi"/>
          <w:color w:val="333333"/>
        </w:rPr>
        <w:t> interviene sull’eccessiva durata dei processi e intende ridurre il forte peso degli arretrati giudiziari</w:t>
      </w:r>
      <w:r w:rsidR="00E10A56">
        <w:rPr>
          <w:rFonts w:asciiTheme="minorHAnsi" w:hAnsiTheme="minorHAnsi" w:cstheme="minorHAnsi"/>
          <w:color w:val="333333"/>
        </w:rPr>
        <w:t xml:space="preserve"> con</w:t>
      </w:r>
      <w:r w:rsidRPr="00791CA3">
        <w:rPr>
          <w:rFonts w:asciiTheme="minorHAnsi" w:hAnsiTheme="minorHAnsi" w:cstheme="minorHAnsi"/>
          <w:color w:val="333333"/>
        </w:rPr>
        <w:t xml:space="preserve"> assunzioni mirate e temporanee per eliminare il carico di casi pendenti e rafforza l’Ufficio del Processo.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Sono previsti interventi di revisione del quadro normativo e procedurale, ad esempio un aumento del ricorso a procedure di mediazione e interventi di semplificazione sui diversi gradi del processo.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prevede inoltre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interventi di semplificazione</w:t>
      </w:r>
      <w:r w:rsidRPr="00791CA3">
        <w:rPr>
          <w:rFonts w:asciiTheme="minorHAnsi" w:hAnsiTheme="minorHAnsi" w:cstheme="minorHAnsi"/>
          <w:color w:val="333333"/>
        </w:rPr>
        <w:t> per la concessione di permessi e autorizzazioni, e sul codice degli appalti per garantire attuazione e massimo impatto agli investimenti.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Il Piano include anche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riforme a tutela della concorrenza</w:t>
      </w:r>
      <w:r w:rsidRPr="00791CA3">
        <w:rPr>
          <w:rFonts w:asciiTheme="minorHAnsi" w:hAnsiTheme="minorHAnsi" w:cstheme="minorHAnsi"/>
          <w:color w:val="333333"/>
        </w:rPr>
        <w:t> come strumento di coesione sociale e crescita economica. I tempi di queste riforme, che vanno dai servizi pubblici locali a energia elettrica e gas, sono stati pensati tenendo conto delle attuali condizioni dovute alla pandemia.</w:t>
      </w:r>
    </w:p>
    <w:p w14:paraId="3AC2B3F8" w14:textId="2AB45C96" w:rsidR="0043526E" w:rsidRPr="00604D9D" w:rsidRDefault="0043526E" w:rsidP="00B4098D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Il PNRR avrà un impatto significativo sulla crescita economica e della produttività. Il Governo prevede che </w:t>
      </w:r>
      <w:r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nel 2026 il Pil sarà di 3,6 punti percentuali più alto</w:t>
      </w:r>
      <w:r w:rsidRPr="00604D9D">
        <w:rPr>
          <w:rFonts w:asciiTheme="minorHAnsi" w:hAnsiTheme="minorHAnsi" w:cstheme="minorHAnsi"/>
          <w:color w:val="333333"/>
        </w:rPr>
        <w:t> rispetto allo scenario di base. Nell’ultimo triennio dell’orizzonte temporale (2024-2026), </w:t>
      </w:r>
      <w:r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l’occupazione sarà più alta di 3,2 punti percentuali</w:t>
      </w:r>
      <w:r w:rsidRPr="00604D9D">
        <w:rPr>
          <w:rFonts w:asciiTheme="minorHAnsi" w:hAnsiTheme="minorHAnsi" w:cstheme="minorHAnsi"/>
          <w:color w:val="333333"/>
        </w:rPr>
        <w:t>.</w:t>
      </w:r>
    </w:p>
    <w:p w14:paraId="55189869" w14:textId="0813302A" w:rsidR="0043526E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Il Piano prevede inoltre un</w:t>
      </w:r>
      <w:r w:rsidRPr="00791CA3">
        <w:rPr>
          <w:rStyle w:val="Enfasigrassetto"/>
          <w:rFonts w:asciiTheme="minorHAnsi" w:hAnsiTheme="minorHAnsi" w:cstheme="minorHAnsi"/>
          <w:color w:val="333333"/>
        </w:rPr>
        <w:t> investimento significativo sui giovani e le donne</w:t>
      </w:r>
      <w:r w:rsidRPr="00791CA3">
        <w:rPr>
          <w:rFonts w:asciiTheme="minorHAnsi" w:hAnsiTheme="minorHAnsi" w:cstheme="minorHAnsi"/>
          <w:color w:val="333333"/>
        </w:rPr>
        <w:t>. Una nuova strategia di politiche per l’infanzia è cruciale per invertire il declino di fecondità e natalità.</w:t>
      </w:r>
    </w:p>
    <w:p w14:paraId="2B9BE25E" w14:textId="22DCFE08" w:rsidR="0043526E" w:rsidRPr="00B4098D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b/>
          <w:bCs/>
          <w:color w:val="333333"/>
        </w:rPr>
      </w:pPr>
      <w:r w:rsidRPr="00791CA3">
        <w:rPr>
          <w:rFonts w:asciiTheme="minorHAnsi" w:hAnsiTheme="minorHAnsi" w:cstheme="minorHAnsi"/>
          <w:color w:val="333333"/>
        </w:rPr>
        <w:t>I giovani beneficiano dei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progetti nei campi dell’istruzione</w:t>
      </w:r>
      <w:r w:rsidRPr="00791CA3">
        <w:rPr>
          <w:rFonts w:asciiTheme="minorHAnsi" w:hAnsiTheme="minorHAnsi" w:cstheme="minorHAnsi"/>
          <w:color w:val="333333"/>
        </w:rPr>
        <w:t> e</w:t>
      </w:r>
      <w:r w:rsidR="00604D9D"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della ricerca; del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ricambio generazionale nella pubblica amministrazione</w:t>
      </w:r>
      <w:r w:rsidRPr="00791CA3">
        <w:rPr>
          <w:rFonts w:asciiTheme="minorHAnsi" w:hAnsiTheme="minorHAnsi" w:cstheme="minorHAnsi"/>
          <w:color w:val="333333"/>
        </w:rPr>
        <w:t>; e del rafforzamento del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Servizio Civile Universale</w:t>
      </w:r>
      <w:r w:rsidRPr="00791CA3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Per i ragazzi e le ragazze, sono stanziati fondi per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l’estensione del tempo pieno scolastico</w:t>
      </w:r>
      <w:r w:rsidRPr="00791CA3">
        <w:rPr>
          <w:rFonts w:asciiTheme="minorHAnsi" w:hAnsiTheme="minorHAnsi" w:cstheme="minorHAnsi"/>
          <w:color w:val="333333"/>
        </w:rPr>
        <w:t> e per il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potenziamento delle infrastrutture sportive a scuola</w:t>
      </w:r>
      <w:r w:rsidRPr="00791CA3">
        <w:rPr>
          <w:rFonts w:asciiTheme="minorHAnsi" w:hAnsiTheme="minorHAnsi" w:cstheme="minorHAnsi"/>
          <w:color w:val="333333"/>
        </w:rPr>
        <w:t>. In particolare, è promossa l’attività motoria nella scuola primaria, anche in funzione di contrasto alla dispersione scolastica.</w:t>
      </w:r>
      <w:r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Per quanto riguarda le donne, il Piano prevede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misure di sostegno all’imprenditoria femminile</w:t>
      </w:r>
      <w:r w:rsidRPr="00791CA3">
        <w:rPr>
          <w:rFonts w:asciiTheme="minorHAnsi" w:hAnsiTheme="minorHAnsi" w:cstheme="minorHAnsi"/>
          <w:color w:val="333333"/>
        </w:rPr>
        <w:t xml:space="preserve"> e investimenti </w:t>
      </w:r>
      <w:r w:rsidRPr="00791CA3">
        <w:rPr>
          <w:rFonts w:asciiTheme="minorHAnsi" w:hAnsiTheme="minorHAnsi" w:cstheme="minorHAnsi"/>
          <w:color w:val="333333"/>
        </w:rPr>
        <w:lastRenderedPageBreak/>
        <w:t>nelle </w:t>
      </w:r>
      <w:r w:rsidRPr="00791CA3">
        <w:rPr>
          <w:rStyle w:val="Enfasigrassetto"/>
          <w:rFonts w:asciiTheme="minorHAnsi" w:hAnsiTheme="minorHAnsi" w:cstheme="minorHAnsi"/>
          <w:color w:val="333333"/>
        </w:rPr>
        <w:t>competenze tecnico-scientifiche delle studentesse</w:t>
      </w:r>
      <w:r w:rsidR="00604D9D">
        <w:rPr>
          <w:rStyle w:val="Enfasigrassetto"/>
          <w:rFonts w:asciiTheme="minorHAnsi" w:hAnsiTheme="minorHAnsi" w:cstheme="minorHAnsi"/>
          <w:color w:val="333333"/>
        </w:rPr>
        <w:t xml:space="preserve"> </w:t>
      </w:r>
      <w:r w:rsidR="00E10A56">
        <w:rPr>
          <w:rStyle w:val="Enfasigrassetto"/>
          <w:rFonts w:asciiTheme="minorHAnsi" w:hAnsiTheme="minorHAnsi" w:cstheme="minorHAnsi"/>
          <w:color w:val="333333"/>
        </w:rPr>
        <w:t>(STEM)</w:t>
      </w:r>
      <w:r w:rsidRPr="00791CA3">
        <w:rPr>
          <w:rFonts w:asciiTheme="minorHAnsi" w:hAnsiTheme="minorHAnsi" w:cstheme="minorHAnsi"/>
          <w:color w:val="333333"/>
        </w:rPr>
        <w:t>. Inoltre, l’ampliamento dell’offerta di asili, il potenziamento della scuola per l’infanzia e il miglioramento dell’assistenza ad anziani e disabili aiuteranno indirettamente le donne, che spesso devono sostenere la maggior parte del carico assistenziale delle famiglie.</w:t>
      </w:r>
      <w:r w:rsidR="00E10A56"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Per perseguire le finalità relative alle pari opportunità - generazionali e di genere - il Governo intende inserire per le imprese che parteciperanno ai progetti finanziati dal NGEU </w:t>
      </w:r>
      <w:r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previsioni dirette a condizionare l’esecuzione dei progetti all’assunzione di</w:t>
      </w:r>
      <w:r w:rsidR="00E10A56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B4098D">
        <w:rPr>
          <w:rStyle w:val="Enfasigrassetto"/>
          <w:rFonts w:asciiTheme="minorHAnsi" w:hAnsiTheme="minorHAnsi" w:cstheme="minorHAnsi"/>
          <w:b w:val="0"/>
          <w:bCs w:val="0"/>
          <w:color w:val="333333"/>
        </w:rPr>
        <w:t>giovani e donne</w:t>
      </w:r>
      <w:r w:rsidRPr="00E10A56">
        <w:rPr>
          <w:rFonts w:asciiTheme="minorHAnsi" w:hAnsiTheme="minorHAnsi" w:cstheme="minorHAnsi"/>
          <w:color w:val="333333"/>
        </w:rPr>
        <w:t>.</w:t>
      </w:r>
      <w:r w:rsidR="00E10A56">
        <w:rPr>
          <w:rFonts w:asciiTheme="minorHAnsi" w:hAnsiTheme="minorHAnsi" w:cstheme="minorHAnsi"/>
          <w:color w:val="333333"/>
        </w:rPr>
        <w:t xml:space="preserve"> </w:t>
      </w:r>
      <w:r w:rsidRPr="00791CA3">
        <w:rPr>
          <w:rFonts w:asciiTheme="minorHAnsi" w:hAnsiTheme="minorHAnsi" w:cstheme="minorHAnsi"/>
          <w:color w:val="333333"/>
        </w:rPr>
        <w:t>I criteri sono definiti tenendo conto dell’oggetto del contratto; della tipologia e della natura del singolo progetto.</w:t>
      </w:r>
    </w:p>
    <w:p w14:paraId="6A7651CF" w14:textId="618B314B" w:rsidR="00853A8D" w:rsidRDefault="0043526E" w:rsidP="0043526E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853A8D">
        <w:rPr>
          <w:rFonts w:asciiTheme="minorHAnsi" w:hAnsiTheme="minorHAnsi" w:cstheme="minorHAnsi"/>
          <w:color w:val="333333"/>
        </w:rPr>
        <w:t>La </w:t>
      </w:r>
      <w:proofErr w:type="spellStart"/>
      <w:r w:rsidRPr="00853A8D">
        <w:rPr>
          <w:rStyle w:val="Enfasigrassetto"/>
          <w:rFonts w:asciiTheme="minorHAnsi" w:hAnsiTheme="minorHAnsi" w:cstheme="minorHAnsi"/>
          <w:color w:val="333333"/>
        </w:rPr>
        <w:t>governance</w:t>
      </w:r>
      <w:proofErr w:type="spellEnd"/>
      <w:r w:rsidRPr="00853A8D">
        <w:rPr>
          <w:rStyle w:val="Enfasigrassetto"/>
          <w:rFonts w:asciiTheme="minorHAnsi" w:hAnsiTheme="minorHAnsi" w:cstheme="minorHAnsi"/>
          <w:color w:val="333333"/>
        </w:rPr>
        <w:t> </w:t>
      </w:r>
      <w:r w:rsidRPr="00853A8D">
        <w:rPr>
          <w:rFonts w:asciiTheme="minorHAnsi" w:hAnsiTheme="minorHAnsi" w:cstheme="minorHAnsi"/>
          <w:color w:val="333333"/>
        </w:rPr>
        <w:t>del Piano prevede una responsabilità diretta dei ministeri e delle amministrazioni locali per la realizzazione degli investimenti e delle riforme entro i tempi concordati, e per la gestione regolare, corretta ed efficace delle risorse.</w:t>
      </w:r>
    </w:p>
    <w:p w14:paraId="374BBBDE" w14:textId="15452EAB" w:rsidR="00853A8D" w:rsidRDefault="00853A8D" w:rsidP="00853A8D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B4098D">
        <w:rPr>
          <w:rFonts w:asciiTheme="minorHAnsi" w:hAnsiTheme="minorHAnsi" w:cstheme="minorHAnsi"/>
          <w:color w:val="333333"/>
        </w:rPr>
        <w:t xml:space="preserve">Con il </w:t>
      </w:r>
      <w:r w:rsidRPr="00B4098D">
        <w:rPr>
          <w:rFonts w:asciiTheme="minorHAnsi" w:hAnsiTheme="minorHAnsi" w:cstheme="minorHAnsi"/>
          <w:b/>
          <w:bCs/>
          <w:color w:val="333333"/>
        </w:rPr>
        <w:t>“Decreto Semplificazioni</w:t>
      </w:r>
      <w:r>
        <w:rPr>
          <w:rFonts w:asciiTheme="minorHAnsi" w:hAnsiTheme="minorHAnsi" w:cstheme="minorHAnsi"/>
          <w:color w:val="333333"/>
        </w:rPr>
        <w:t>”</w:t>
      </w:r>
      <w:r w:rsidRPr="00B4098D">
        <w:rPr>
          <w:rFonts w:asciiTheme="minorHAnsi" w:hAnsiTheme="minorHAnsi" w:cstheme="minorHAnsi"/>
          <w:color w:val="333333"/>
        </w:rPr>
        <w:t xml:space="preserve"> il Governo ha deciso la </w:t>
      </w:r>
      <w:proofErr w:type="spellStart"/>
      <w:r w:rsidRPr="00B4098D">
        <w:rPr>
          <w:rFonts w:asciiTheme="minorHAnsi" w:hAnsiTheme="minorHAnsi" w:cstheme="minorHAnsi"/>
          <w:color w:val="333333"/>
        </w:rPr>
        <w:t>Gorvernance</w:t>
      </w:r>
      <w:proofErr w:type="spellEnd"/>
      <w:r w:rsidRPr="00B4098D">
        <w:rPr>
          <w:rFonts w:asciiTheme="minorHAnsi" w:hAnsiTheme="minorHAnsi" w:cstheme="minorHAnsi"/>
          <w:color w:val="333333"/>
        </w:rPr>
        <w:t xml:space="preserve"> più nel dettaglio. E</w:t>
      </w:r>
      <w:r w:rsidR="00436AEF">
        <w:rPr>
          <w:rFonts w:asciiTheme="minorHAnsi" w:hAnsiTheme="minorHAnsi" w:cstheme="minorHAnsi"/>
          <w:color w:val="333333"/>
        </w:rPr>
        <w:t xml:space="preserve"> </w:t>
      </w:r>
      <w:r w:rsidRPr="00B4098D">
        <w:rPr>
          <w:rFonts w:asciiTheme="minorHAnsi" w:hAnsiTheme="minorHAnsi" w:cstheme="minorHAnsi"/>
          <w:color w:val="333333"/>
        </w:rPr>
        <w:t>di questi giorni la discussione in sede di Coordinamento</w:t>
      </w:r>
      <w:r w:rsidR="00AC2E12">
        <w:rPr>
          <w:rFonts w:asciiTheme="minorHAnsi" w:hAnsiTheme="minorHAnsi" w:cstheme="minorHAnsi"/>
          <w:color w:val="333333"/>
        </w:rPr>
        <w:t xml:space="preserve"> regionale</w:t>
      </w:r>
      <w:r w:rsidRPr="00B4098D">
        <w:rPr>
          <w:rFonts w:asciiTheme="minorHAnsi" w:hAnsiTheme="minorHAnsi" w:cstheme="minorHAnsi"/>
          <w:color w:val="333333"/>
        </w:rPr>
        <w:t xml:space="preserve"> Affari europei.</w:t>
      </w:r>
      <w:r w:rsidRPr="00853A8D">
        <w:rPr>
          <w:rFonts w:asciiTheme="minorHAnsi" w:hAnsiTheme="minorHAnsi" w:cstheme="minorHAnsi"/>
          <w:color w:val="333333"/>
        </w:rPr>
        <w:t xml:space="preserve"> </w:t>
      </w:r>
    </w:p>
    <w:p w14:paraId="2336C045" w14:textId="77777777" w:rsidR="00436AEF" w:rsidRDefault="00436AEF" w:rsidP="00853A8D">
      <w:pPr>
        <w:pStyle w:val="NormaleWeb"/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b/>
          <w:bCs/>
          <w:color w:val="333333"/>
        </w:rPr>
      </w:pPr>
    </w:p>
    <w:p w14:paraId="3A75D24A" w14:textId="5DA06E88" w:rsidR="00853A8D" w:rsidRPr="00B4098D" w:rsidRDefault="00853A8D" w:rsidP="00B4098D">
      <w:pPr>
        <w:pStyle w:val="NormaleWeb"/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b/>
          <w:bCs/>
          <w:color w:val="333333"/>
        </w:rPr>
      </w:pPr>
      <w:r w:rsidRPr="00B4098D">
        <w:rPr>
          <w:rFonts w:asciiTheme="minorHAnsi" w:hAnsiTheme="minorHAnsi" w:cstheme="minorHAnsi"/>
          <w:b/>
          <w:bCs/>
          <w:color w:val="333333"/>
        </w:rPr>
        <w:t xml:space="preserve">Struttura della </w:t>
      </w:r>
      <w:proofErr w:type="spellStart"/>
      <w:r w:rsidRPr="00B4098D">
        <w:rPr>
          <w:rFonts w:asciiTheme="minorHAnsi" w:hAnsiTheme="minorHAnsi" w:cstheme="minorHAnsi"/>
          <w:b/>
          <w:bCs/>
          <w:color w:val="333333"/>
        </w:rPr>
        <w:t>Governance</w:t>
      </w:r>
      <w:proofErr w:type="spellEnd"/>
      <w:r w:rsidR="00436AEF">
        <w:rPr>
          <w:rFonts w:asciiTheme="minorHAnsi" w:hAnsiTheme="minorHAnsi" w:cstheme="minorHAnsi"/>
          <w:b/>
          <w:bCs/>
          <w:color w:val="333333"/>
        </w:rPr>
        <w:t xml:space="preserve"> secondo il “Decreto Se</w:t>
      </w:r>
      <w:r w:rsidR="00661832">
        <w:rPr>
          <w:rFonts w:asciiTheme="minorHAnsi" w:hAnsiTheme="minorHAnsi" w:cstheme="minorHAnsi"/>
          <w:b/>
          <w:bCs/>
          <w:color w:val="333333"/>
        </w:rPr>
        <w:t>m</w:t>
      </w:r>
      <w:r w:rsidR="00436AEF">
        <w:rPr>
          <w:rFonts w:asciiTheme="minorHAnsi" w:hAnsiTheme="minorHAnsi" w:cstheme="minorHAnsi"/>
          <w:b/>
          <w:bCs/>
          <w:color w:val="333333"/>
        </w:rPr>
        <w:t>plificazioni”</w:t>
      </w:r>
    </w:p>
    <w:p w14:paraId="4AE3E58E" w14:textId="47CB14A2" w:rsidR="00853A8D" w:rsidRDefault="00853A8D" w:rsidP="00B4098D">
      <w:pPr>
        <w:pStyle w:val="NormaleWeb"/>
        <w:numPr>
          <w:ilvl w:val="0"/>
          <w:numId w:val="17"/>
        </w:numPr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B4098D">
        <w:rPr>
          <w:rFonts w:asciiTheme="minorHAnsi" w:hAnsiTheme="minorHAnsi" w:cstheme="minorHAnsi"/>
          <w:b/>
          <w:bCs/>
          <w:color w:val="333333"/>
        </w:rPr>
        <w:t>Cabina di Regia</w:t>
      </w:r>
      <w:r w:rsidRPr="00B4098D">
        <w:rPr>
          <w:rFonts w:asciiTheme="minorHAnsi" w:hAnsiTheme="minorHAnsi" w:cstheme="minorHAnsi"/>
          <w:color w:val="333333"/>
        </w:rPr>
        <w:t xml:space="preserve"> con funzioni di indirizzo presso Presidenza Consiglio dei Ministri</w:t>
      </w:r>
      <w:r>
        <w:rPr>
          <w:rFonts w:asciiTheme="minorHAnsi" w:hAnsiTheme="minorHAnsi" w:cstheme="minorHAnsi"/>
          <w:color w:val="333333"/>
        </w:rPr>
        <w:t xml:space="preserve"> alla quale partecipano anche le </w:t>
      </w:r>
      <w:r w:rsidR="000E2EBF">
        <w:rPr>
          <w:rFonts w:asciiTheme="minorHAnsi" w:hAnsiTheme="minorHAnsi" w:cstheme="minorHAnsi"/>
          <w:color w:val="333333"/>
        </w:rPr>
        <w:t>R</w:t>
      </w:r>
      <w:r>
        <w:rPr>
          <w:rFonts w:asciiTheme="minorHAnsi" w:hAnsiTheme="minorHAnsi" w:cstheme="minorHAnsi"/>
          <w:color w:val="333333"/>
        </w:rPr>
        <w:t>egioni</w:t>
      </w:r>
      <w:r w:rsidR="000E2EBF">
        <w:rPr>
          <w:rFonts w:asciiTheme="minorHAnsi" w:hAnsiTheme="minorHAnsi" w:cstheme="minorHAnsi"/>
          <w:color w:val="333333"/>
        </w:rPr>
        <w:t xml:space="preserve"> e Presidenza della Conferenza delle Regioni</w:t>
      </w:r>
    </w:p>
    <w:p w14:paraId="2CED39AB" w14:textId="6051FF81" w:rsidR="00853A8D" w:rsidRDefault="00853A8D" w:rsidP="00B4098D">
      <w:pPr>
        <w:pStyle w:val="NormaleWeb"/>
        <w:numPr>
          <w:ilvl w:val="0"/>
          <w:numId w:val="17"/>
        </w:numPr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B4098D">
        <w:rPr>
          <w:rFonts w:asciiTheme="minorHAnsi" w:hAnsiTheme="minorHAnsi" w:cstheme="minorHAnsi"/>
          <w:b/>
          <w:bCs/>
          <w:color w:val="333333"/>
        </w:rPr>
        <w:t>Segreteria tecnica</w:t>
      </w:r>
      <w:r w:rsidR="000E2EBF">
        <w:rPr>
          <w:rFonts w:asciiTheme="minorHAnsi" w:hAnsiTheme="minorHAnsi" w:cstheme="minorHAnsi"/>
          <w:color w:val="333333"/>
        </w:rPr>
        <w:t xml:space="preserve"> che supporta la cabina di regia</w:t>
      </w:r>
    </w:p>
    <w:p w14:paraId="7A627163" w14:textId="737F33FB" w:rsidR="00853A8D" w:rsidRDefault="00853A8D" w:rsidP="00B4098D">
      <w:pPr>
        <w:pStyle w:val="NormaleWeb"/>
        <w:numPr>
          <w:ilvl w:val="0"/>
          <w:numId w:val="17"/>
        </w:numPr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B4098D">
        <w:rPr>
          <w:rFonts w:asciiTheme="minorHAnsi" w:hAnsiTheme="minorHAnsi" w:cstheme="minorHAnsi"/>
          <w:b/>
          <w:bCs/>
          <w:color w:val="333333"/>
        </w:rPr>
        <w:t>Unità per la razionalizzazione</w:t>
      </w:r>
      <w:r>
        <w:rPr>
          <w:rFonts w:asciiTheme="minorHAnsi" w:hAnsiTheme="minorHAnsi" w:cstheme="minorHAnsi"/>
          <w:color w:val="333333"/>
        </w:rPr>
        <w:t xml:space="preserve"> </w:t>
      </w:r>
      <w:r w:rsidRPr="00B4098D">
        <w:rPr>
          <w:rFonts w:asciiTheme="minorHAnsi" w:hAnsiTheme="minorHAnsi" w:cstheme="minorHAnsi"/>
          <w:b/>
          <w:bCs/>
          <w:color w:val="333333"/>
        </w:rPr>
        <w:t>e il miglioramento dell’efficacia della regolazione</w:t>
      </w:r>
    </w:p>
    <w:p w14:paraId="5C0E477B" w14:textId="06FD7F7B" w:rsidR="00853A8D" w:rsidRPr="00B4098D" w:rsidRDefault="00853A8D" w:rsidP="00B4098D">
      <w:pPr>
        <w:pStyle w:val="NormaleWeb"/>
        <w:numPr>
          <w:ilvl w:val="0"/>
          <w:numId w:val="17"/>
        </w:numPr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B4098D">
        <w:rPr>
          <w:rFonts w:asciiTheme="minorHAnsi" w:hAnsiTheme="minorHAnsi" w:cstheme="minorHAnsi"/>
          <w:b/>
          <w:bCs/>
          <w:color w:val="333333"/>
        </w:rPr>
        <w:t>Tavolo permanente</w:t>
      </w:r>
      <w:r>
        <w:rPr>
          <w:rFonts w:asciiTheme="minorHAnsi" w:hAnsiTheme="minorHAnsi" w:cstheme="minorHAnsi"/>
          <w:color w:val="333333"/>
        </w:rPr>
        <w:t xml:space="preserve"> </w:t>
      </w:r>
      <w:r w:rsidR="000E2EBF">
        <w:rPr>
          <w:rFonts w:asciiTheme="minorHAnsi" w:hAnsiTheme="minorHAnsi" w:cstheme="minorHAnsi"/>
          <w:color w:val="333333"/>
        </w:rPr>
        <w:t>per il partenariato economico, sociale e territoriale (parti sociali, regioni, Enti Locali, Sistema università e Ricerca, società civile)</w:t>
      </w:r>
    </w:p>
    <w:p w14:paraId="1647EB0C" w14:textId="57489895" w:rsidR="0043526E" w:rsidRDefault="0043526E" w:rsidP="00B4098D">
      <w:pPr>
        <w:pStyle w:val="NormaleWeb"/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 w:rsidRPr="00B4098D">
        <w:rPr>
          <w:rFonts w:asciiTheme="minorHAnsi" w:hAnsiTheme="minorHAnsi" w:cstheme="minorHAnsi"/>
          <w:color w:val="333333"/>
          <w:highlight w:val="yellow"/>
        </w:rPr>
        <w:br/>
      </w:r>
      <w:r w:rsidRPr="000E2EBF">
        <w:rPr>
          <w:rFonts w:asciiTheme="minorHAnsi" w:hAnsiTheme="minorHAnsi" w:cstheme="minorHAnsi"/>
          <w:color w:val="333333"/>
        </w:rPr>
        <w:t xml:space="preserve">Il </w:t>
      </w:r>
      <w:r w:rsidRPr="000E2EBF">
        <w:rPr>
          <w:rFonts w:asciiTheme="minorHAnsi" w:hAnsiTheme="minorHAnsi" w:cstheme="minorHAnsi"/>
          <w:b/>
          <w:bCs/>
          <w:color w:val="333333"/>
        </w:rPr>
        <w:t>Ministero dell’economia</w:t>
      </w:r>
      <w:r w:rsidRPr="000E2EBF">
        <w:rPr>
          <w:rFonts w:asciiTheme="minorHAnsi" w:hAnsiTheme="minorHAnsi" w:cstheme="minorHAnsi"/>
          <w:color w:val="333333"/>
        </w:rPr>
        <w:t xml:space="preserve"> e delle finanze monitora e controlla il progresso nell’attuazione di riforme e investimenti e funge da </w:t>
      </w:r>
      <w:r w:rsidRPr="000E2EBF">
        <w:rPr>
          <w:rFonts w:asciiTheme="minorHAnsi" w:hAnsiTheme="minorHAnsi" w:cstheme="minorHAnsi"/>
          <w:b/>
          <w:bCs/>
          <w:color w:val="333333"/>
        </w:rPr>
        <w:t>unico punto di contatto con la Commissione Europea</w:t>
      </w:r>
      <w:r w:rsidRPr="000E2EBF">
        <w:rPr>
          <w:rFonts w:asciiTheme="minorHAnsi" w:hAnsiTheme="minorHAnsi" w:cstheme="minorHAnsi"/>
          <w:color w:val="333333"/>
        </w:rPr>
        <w:t>.</w:t>
      </w:r>
    </w:p>
    <w:p w14:paraId="17127FBF" w14:textId="0BA7F85A" w:rsidR="00B4098D" w:rsidRDefault="00B4098D" w:rsidP="00B4098D">
      <w:pPr>
        <w:pStyle w:val="NormaleWeb"/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</w:p>
    <w:p w14:paraId="45EF3B5C" w14:textId="63B3CC86" w:rsidR="00B4098D" w:rsidRDefault="00B4098D" w:rsidP="00B4098D">
      <w:pPr>
        <w:pStyle w:val="NormaleWeb"/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-------------------------------------------------------------------------------------------------------</w:t>
      </w:r>
    </w:p>
    <w:p w14:paraId="16F9C4AE" w14:textId="77777777" w:rsidR="00B4098D" w:rsidRPr="00791CA3" w:rsidRDefault="00B4098D" w:rsidP="00B4098D">
      <w:pPr>
        <w:pStyle w:val="NormaleWeb"/>
        <w:pBdr>
          <w:top w:val="single" w:sz="4" w:space="1" w:color="auto"/>
        </w:pBdr>
        <w:spacing w:before="0" w:beforeAutospacing="0" w:after="150" w:afterAutospacing="0" w:line="240" w:lineRule="atLeast"/>
        <w:jc w:val="both"/>
        <w:rPr>
          <w:rFonts w:asciiTheme="minorHAnsi" w:hAnsiTheme="minorHAnsi" w:cstheme="minorHAnsi"/>
          <w:color w:val="333333"/>
        </w:rPr>
      </w:pPr>
    </w:p>
    <w:p w14:paraId="6014A1FE" w14:textId="501369D4" w:rsidR="00230776" w:rsidRPr="00B4098D" w:rsidRDefault="00230776" w:rsidP="00023CE6">
      <w:pPr>
        <w:spacing w:before="100" w:beforeAutospacing="1" w:after="100" w:afterAutospacing="1" w:line="240" w:lineRule="auto"/>
        <w:jc w:val="both"/>
        <w:rPr>
          <w:b/>
          <w:bCs/>
          <w:color w:val="000000"/>
          <w:sz w:val="24"/>
          <w:szCs w:val="24"/>
        </w:rPr>
      </w:pPr>
      <w:proofErr w:type="spellStart"/>
      <w:r w:rsidRPr="00B4098D">
        <w:rPr>
          <w:b/>
          <w:bCs/>
          <w:color w:val="000000"/>
          <w:sz w:val="24"/>
          <w:szCs w:val="24"/>
        </w:rPr>
        <w:t>Nextgeneration</w:t>
      </w:r>
      <w:proofErr w:type="spellEnd"/>
      <w:r w:rsidRPr="00B4098D">
        <w:rPr>
          <w:b/>
          <w:bCs/>
          <w:color w:val="000000"/>
          <w:sz w:val="24"/>
          <w:szCs w:val="24"/>
        </w:rPr>
        <w:t xml:space="preserve"> Lazio</w:t>
      </w:r>
    </w:p>
    <w:p w14:paraId="56F98295" w14:textId="3035BD67" w:rsidR="00230776" w:rsidRDefault="00230776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Regione Lazio ha partecipato alle interlocuzioni e alle riunioni svolte nel periodo di costruzione del PNRR durante la prima stesura del Piano (Governo Conte), perché successivamente il nuovo esecutivo non ha promosso confronti finalizzati alla stesura definitiva.</w:t>
      </w:r>
    </w:p>
    <w:p w14:paraId="4183B205" w14:textId="6B762BC3" w:rsidR="00D9298B" w:rsidRPr="00BD6B3F" w:rsidRDefault="00230776" w:rsidP="00B4098D">
      <w:pPr>
        <w:jc w:val="both"/>
      </w:pPr>
      <w:r w:rsidRPr="00B4098D">
        <w:rPr>
          <w:color w:val="000000"/>
          <w:sz w:val="24"/>
          <w:szCs w:val="24"/>
        </w:rPr>
        <w:t xml:space="preserve">Nel periodo indicato le </w:t>
      </w:r>
      <w:r w:rsidR="00D9298B">
        <w:rPr>
          <w:color w:val="000000"/>
          <w:sz w:val="24"/>
          <w:szCs w:val="24"/>
        </w:rPr>
        <w:t>R</w:t>
      </w:r>
      <w:r w:rsidRPr="00B4098D">
        <w:rPr>
          <w:color w:val="000000"/>
          <w:sz w:val="24"/>
          <w:szCs w:val="24"/>
        </w:rPr>
        <w:t xml:space="preserve">egioni sono state coinvolte per </w:t>
      </w:r>
      <w:proofErr w:type="gramStart"/>
      <w:r w:rsidRPr="00B4098D">
        <w:rPr>
          <w:color w:val="000000"/>
          <w:sz w:val="24"/>
          <w:szCs w:val="24"/>
        </w:rPr>
        <w:t>definire  prime</w:t>
      </w:r>
      <w:proofErr w:type="gramEnd"/>
      <w:r w:rsidRPr="00B4098D">
        <w:rPr>
          <w:color w:val="000000"/>
          <w:sz w:val="24"/>
          <w:szCs w:val="24"/>
        </w:rPr>
        <w:t xml:space="preserve"> indicazioni per interventi da realizzare a livello locale, pertanto la Regione Lazio</w:t>
      </w:r>
      <w:r w:rsidR="00D9298B">
        <w:rPr>
          <w:color w:val="000000"/>
          <w:sz w:val="24"/>
          <w:szCs w:val="24"/>
        </w:rPr>
        <w:t xml:space="preserve"> su indicazione della </w:t>
      </w:r>
      <w:r w:rsidR="00D9298B" w:rsidRPr="00D9298B">
        <w:rPr>
          <w:sz w:val="24"/>
          <w:szCs w:val="24"/>
        </w:rPr>
        <w:t xml:space="preserve"> </w:t>
      </w:r>
      <w:r w:rsidR="00D9298B" w:rsidRPr="0014371C">
        <w:rPr>
          <w:sz w:val="24"/>
          <w:szCs w:val="24"/>
        </w:rPr>
        <w:t>Cabina di Regia delle Regioni</w:t>
      </w:r>
      <w:r w:rsidRPr="00B4098D">
        <w:rPr>
          <w:color w:val="000000"/>
          <w:sz w:val="24"/>
          <w:szCs w:val="24"/>
        </w:rPr>
        <w:t xml:space="preserve"> </w:t>
      </w:r>
      <w:r w:rsidR="00D9298B">
        <w:rPr>
          <w:color w:val="000000"/>
          <w:sz w:val="24"/>
          <w:szCs w:val="24"/>
        </w:rPr>
        <w:t xml:space="preserve">presso la </w:t>
      </w:r>
      <w:r w:rsidR="00D9298B" w:rsidRPr="0014371C">
        <w:rPr>
          <w:sz w:val="24"/>
          <w:szCs w:val="24"/>
        </w:rPr>
        <w:t xml:space="preserve">Conferenza delle Regioni e delle Province autonome, </w:t>
      </w:r>
      <w:r w:rsidRPr="00B4098D">
        <w:rPr>
          <w:color w:val="000000"/>
          <w:sz w:val="24"/>
          <w:szCs w:val="24"/>
        </w:rPr>
        <w:t xml:space="preserve">ha tempestivamente prodotto un atto di Giunta costruito secondo le indicazioni </w:t>
      </w:r>
      <w:r w:rsidR="00D9298B" w:rsidRPr="00B4098D">
        <w:rPr>
          <w:color w:val="000000"/>
          <w:sz w:val="24"/>
          <w:szCs w:val="24"/>
        </w:rPr>
        <w:t xml:space="preserve">date dalla assistenza tecnica per le Regioni recependo le linee </w:t>
      </w:r>
      <w:r w:rsidR="00D9298B">
        <w:rPr>
          <w:color w:val="000000"/>
          <w:sz w:val="24"/>
          <w:szCs w:val="24"/>
        </w:rPr>
        <w:t xml:space="preserve">Strategiche del PNRR e  le Linee di </w:t>
      </w:r>
      <w:r w:rsidR="00D9298B" w:rsidRPr="00B4098D">
        <w:rPr>
          <w:color w:val="000000"/>
          <w:sz w:val="24"/>
          <w:szCs w:val="24"/>
        </w:rPr>
        <w:t xml:space="preserve"> indirizzo prodotte da Governo:</w:t>
      </w:r>
    </w:p>
    <w:p w14:paraId="29171BE7" w14:textId="229AACCF" w:rsidR="00230776" w:rsidRPr="00B4098D" w:rsidRDefault="00230776" w:rsidP="00B4098D">
      <w:pPr>
        <w:spacing w:before="100" w:beforeAutospacing="1" w:after="100" w:afterAutospacing="1" w:line="240" w:lineRule="auto"/>
        <w:jc w:val="both"/>
        <w:rPr>
          <w:i/>
          <w:iCs/>
        </w:rPr>
      </w:pPr>
      <w:r w:rsidRPr="00B4098D">
        <w:rPr>
          <w:b/>
          <w:bCs/>
          <w:i/>
          <w:iCs/>
        </w:rPr>
        <w:t>Li</w:t>
      </w:r>
      <w:r w:rsidR="00D9298B" w:rsidRPr="00B4098D">
        <w:rPr>
          <w:b/>
          <w:bCs/>
          <w:i/>
          <w:iCs/>
        </w:rPr>
        <w:t>n</w:t>
      </w:r>
      <w:r w:rsidRPr="00B4098D">
        <w:rPr>
          <w:b/>
          <w:bCs/>
          <w:i/>
          <w:iCs/>
        </w:rPr>
        <w:t>ee strategiche PNRR</w:t>
      </w:r>
      <w:r w:rsidRPr="00B4098D">
        <w:rPr>
          <w:i/>
          <w:iCs/>
        </w:rPr>
        <w:t xml:space="preserve"> </w:t>
      </w:r>
      <w:r w:rsidR="00D9298B" w:rsidRPr="00B4098D">
        <w:rPr>
          <w:i/>
          <w:iCs/>
        </w:rPr>
        <w:t>–</w:t>
      </w:r>
      <w:r w:rsidRPr="00B4098D">
        <w:rPr>
          <w:i/>
          <w:iCs/>
        </w:rPr>
        <w:t xml:space="preserve"> </w:t>
      </w:r>
      <w:r w:rsidR="00D9298B" w:rsidRPr="00B4098D">
        <w:rPr>
          <w:i/>
          <w:iCs/>
        </w:rPr>
        <w:t>le 3</w:t>
      </w:r>
      <w:r w:rsidRPr="00B4098D">
        <w:rPr>
          <w:i/>
          <w:iCs/>
        </w:rPr>
        <w:t xml:space="preserve"> </w:t>
      </w:r>
      <w:r w:rsidR="00D9298B" w:rsidRPr="00B4098D">
        <w:rPr>
          <w:i/>
          <w:iCs/>
        </w:rPr>
        <w:t>Sfide</w:t>
      </w:r>
      <w:r w:rsidRPr="00B4098D">
        <w:rPr>
          <w:i/>
          <w:iCs/>
        </w:rPr>
        <w:t xml:space="preserve"> collegate alle 9 direttrici del Piano Rilancio</w:t>
      </w:r>
    </w:p>
    <w:p w14:paraId="76963FC9" w14:textId="02F93731" w:rsidR="00230776" w:rsidRPr="00B4098D" w:rsidRDefault="00D9298B" w:rsidP="00230776">
      <w:pPr>
        <w:numPr>
          <w:ilvl w:val="0"/>
          <w:numId w:val="18"/>
        </w:numPr>
        <w:spacing w:line="240" w:lineRule="auto"/>
        <w:contextualSpacing/>
        <w:rPr>
          <w:i/>
          <w:iCs/>
        </w:rPr>
      </w:pPr>
      <w:r w:rsidRPr="00B4098D">
        <w:rPr>
          <w:i/>
          <w:iCs/>
        </w:rPr>
        <w:lastRenderedPageBreak/>
        <w:t>M</w:t>
      </w:r>
      <w:r w:rsidR="00230776" w:rsidRPr="00B4098D">
        <w:rPr>
          <w:i/>
          <w:iCs/>
        </w:rPr>
        <w:t>odernizzazione</w:t>
      </w:r>
    </w:p>
    <w:p w14:paraId="7D19FE2C" w14:textId="48FD8FCF" w:rsidR="00230776" w:rsidRPr="00B4098D" w:rsidRDefault="00D9298B" w:rsidP="00230776">
      <w:pPr>
        <w:numPr>
          <w:ilvl w:val="0"/>
          <w:numId w:val="18"/>
        </w:numPr>
        <w:spacing w:line="240" w:lineRule="auto"/>
        <w:contextualSpacing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>T</w:t>
      </w:r>
      <w:r w:rsidR="00230776" w:rsidRPr="00B4098D">
        <w:rPr>
          <w:rFonts w:cstheme="minorHAnsi"/>
          <w:i/>
          <w:iCs/>
        </w:rPr>
        <w:t>ransizione ecologica</w:t>
      </w:r>
    </w:p>
    <w:p w14:paraId="1C2A416F" w14:textId="0A6738FC" w:rsidR="00D9298B" w:rsidRPr="00B4098D" w:rsidRDefault="00D9298B" w:rsidP="00D9298B">
      <w:pPr>
        <w:numPr>
          <w:ilvl w:val="0"/>
          <w:numId w:val="18"/>
        </w:numPr>
        <w:spacing w:line="240" w:lineRule="auto"/>
        <w:contextualSpacing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>I</w:t>
      </w:r>
      <w:r w:rsidR="00230776" w:rsidRPr="00B4098D">
        <w:rPr>
          <w:rFonts w:cstheme="minorHAnsi"/>
          <w:i/>
          <w:iCs/>
        </w:rPr>
        <w:t>nclusione sociale e territoriale, parità di genere</w:t>
      </w:r>
    </w:p>
    <w:p w14:paraId="3501C116" w14:textId="77777777" w:rsidR="002F746F" w:rsidRPr="00B4098D" w:rsidRDefault="002F746F" w:rsidP="00B4098D">
      <w:pPr>
        <w:spacing w:line="240" w:lineRule="auto"/>
        <w:ind w:left="720"/>
        <w:contextualSpacing/>
        <w:rPr>
          <w:rFonts w:cstheme="minorHAnsi"/>
          <w:i/>
          <w:iCs/>
        </w:rPr>
      </w:pPr>
    </w:p>
    <w:p w14:paraId="4593EA7A" w14:textId="59F649B1" w:rsidR="00230776" w:rsidRDefault="00230776" w:rsidP="00230776">
      <w:pPr>
        <w:spacing w:after="0" w:line="0" w:lineRule="atLeast"/>
        <w:jc w:val="both"/>
        <w:rPr>
          <w:i/>
          <w:iCs/>
        </w:rPr>
      </w:pPr>
      <w:r w:rsidRPr="00B4098D">
        <w:rPr>
          <w:b/>
          <w:bCs/>
          <w:i/>
          <w:iCs/>
        </w:rPr>
        <w:t xml:space="preserve">Linee guida </w:t>
      </w:r>
      <w:proofErr w:type="gramStart"/>
      <w:r w:rsidRPr="00B4098D">
        <w:rPr>
          <w:b/>
          <w:bCs/>
          <w:i/>
          <w:iCs/>
        </w:rPr>
        <w:t>Governo</w:t>
      </w:r>
      <w:r w:rsidRPr="00B4098D">
        <w:rPr>
          <w:i/>
          <w:iCs/>
        </w:rPr>
        <w:t xml:space="preserve">  -</w:t>
      </w:r>
      <w:proofErr w:type="gramEnd"/>
      <w:r w:rsidRPr="00B4098D">
        <w:rPr>
          <w:i/>
          <w:iCs/>
        </w:rPr>
        <w:t xml:space="preserve"> MISSIONI (ambiti tematici) - Per ogni missione sono individuati dei Cluster di progetto</w:t>
      </w:r>
    </w:p>
    <w:p w14:paraId="5875FCD1" w14:textId="77777777" w:rsidR="00661832" w:rsidRPr="00B4098D" w:rsidRDefault="00661832" w:rsidP="00230776">
      <w:pPr>
        <w:spacing w:after="0" w:line="0" w:lineRule="atLeast"/>
        <w:jc w:val="both"/>
        <w:rPr>
          <w:i/>
          <w:iCs/>
        </w:rPr>
      </w:pPr>
    </w:p>
    <w:p w14:paraId="56972D86" w14:textId="77777777" w:rsidR="00230776" w:rsidRPr="00B4098D" w:rsidRDefault="00230776" w:rsidP="00230776">
      <w:pPr>
        <w:numPr>
          <w:ilvl w:val="0"/>
          <w:numId w:val="19"/>
        </w:numPr>
        <w:spacing w:after="0" w:line="0" w:lineRule="atLeast"/>
        <w:contextualSpacing/>
        <w:jc w:val="both"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 xml:space="preserve">Digitalizzazione, innovazione e competitività del sistema produttivo </w:t>
      </w:r>
    </w:p>
    <w:p w14:paraId="00BA5A68" w14:textId="77777777" w:rsidR="00230776" w:rsidRPr="00B4098D" w:rsidRDefault="00230776" w:rsidP="00230776">
      <w:pPr>
        <w:numPr>
          <w:ilvl w:val="0"/>
          <w:numId w:val="19"/>
        </w:numPr>
        <w:spacing w:after="0" w:line="0" w:lineRule="atLeast"/>
        <w:contextualSpacing/>
        <w:jc w:val="both"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 xml:space="preserve">Rivoluzione verde e transizione ecologica </w:t>
      </w:r>
    </w:p>
    <w:p w14:paraId="082AEA67" w14:textId="77777777" w:rsidR="00230776" w:rsidRPr="00B4098D" w:rsidRDefault="00230776" w:rsidP="00230776">
      <w:pPr>
        <w:numPr>
          <w:ilvl w:val="0"/>
          <w:numId w:val="19"/>
        </w:numPr>
        <w:spacing w:after="0" w:line="0" w:lineRule="atLeast"/>
        <w:contextualSpacing/>
        <w:jc w:val="both"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 xml:space="preserve">Infrastrutture per la mobilità </w:t>
      </w:r>
    </w:p>
    <w:p w14:paraId="716F21BF" w14:textId="77777777" w:rsidR="00230776" w:rsidRPr="00B4098D" w:rsidRDefault="00230776" w:rsidP="00230776">
      <w:pPr>
        <w:numPr>
          <w:ilvl w:val="0"/>
          <w:numId w:val="19"/>
        </w:numPr>
        <w:spacing w:after="0" w:line="0" w:lineRule="atLeast"/>
        <w:contextualSpacing/>
        <w:jc w:val="both"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 xml:space="preserve">Istruzione, formazione, ricerca e cultura </w:t>
      </w:r>
    </w:p>
    <w:p w14:paraId="4F6E87CC" w14:textId="77777777" w:rsidR="00230776" w:rsidRPr="00B4098D" w:rsidRDefault="00230776" w:rsidP="00230776">
      <w:pPr>
        <w:numPr>
          <w:ilvl w:val="0"/>
          <w:numId w:val="19"/>
        </w:numPr>
        <w:spacing w:after="0" w:line="0" w:lineRule="atLeast"/>
        <w:contextualSpacing/>
        <w:jc w:val="both"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 xml:space="preserve">Equità sociale, di genere e territoriale  </w:t>
      </w:r>
    </w:p>
    <w:p w14:paraId="5E5C7274" w14:textId="1F5942E9" w:rsidR="00230776" w:rsidRPr="00B4098D" w:rsidRDefault="00230776" w:rsidP="00230776">
      <w:pPr>
        <w:numPr>
          <w:ilvl w:val="0"/>
          <w:numId w:val="19"/>
        </w:numPr>
        <w:spacing w:after="0" w:line="0" w:lineRule="atLeast"/>
        <w:contextualSpacing/>
        <w:jc w:val="both"/>
        <w:rPr>
          <w:rFonts w:cstheme="minorHAnsi"/>
          <w:i/>
          <w:iCs/>
        </w:rPr>
      </w:pPr>
      <w:r w:rsidRPr="00B4098D">
        <w:rPr>
          <w:rFonts w:cstheme="minorHAnsi"/>
          <w:i/>
          <w:iCs/>
        </w:rPr>
        <w:t>Salute</w:t>
      </w:r>
    </w:p>
    <w:p w14:paraId="3E6896EC" w14:textId="77777777" w:rsidR="002F746F" w:rsidRPr="00B4098D" w:rsidRDefault="002F746F" w:rsidP="00B4098D">
      <w:pPr>
        <w:spacing w:after="0" w:line="0" w:lineRule="atLeast"/>
        <w:ind w:left="720"/>
        <w:contextualSpacing/>
        <w:jc w:val="both"/>
        <w:rPr>
          <w:rFonts w:cstheme="minorHAnsi"/>
          <w:i/>
          <w:iCs/>
        </w:rPr>
      </w:pPr>
    </w:p>
    <w:p w14:paraId="1B9FA1B6" w14:textId="4170BEE2" w:rsidR="00230776" w:rsidRDefault="00230776" w:rsidP="00230776">
      <w:pPr>
        <w:spacing w:after="0" w:line="0" w:lineRule="atLeast"/>
        <w:rPr>
          <w:rFonts w:cstheme="minorHAnsi"/>
          <w:b/>
          <w:bCs/>
          <w:i/>
          <w:iCs/>
        </w:rPr>
      </w:pPr>
      <w:r w:rsidRPr="00B4098D">
        <w:rPr>
          <w:rFonts w:cstheme="minorHAnsi"/>
          <w:b/>
          <w:bCs/>
          <w:i/>
          <w:iCs/>
        </w:rPr>
        <w:t>Direttrici di intervento (Piano Rilancio)</w:t>
      </w:r>
    </w:p>
    <w:p w14:paraId="1D57BF97" w14:textId="77777777" w:rsidR="00661832" w:rsidRPr="00B4098D" w:rsidRDefault="00661832" w:rsidP="00230776">
      <w:pPr>
        <w:spacing w:after="0" w:line="0" w:lineRule="atLeast"/>
        <w:rPr>
          <w:rFonts w:cstheme="minorHAnsi"/>
          <w:b/>
          <w:bCs/>
          <w:i/>
          <w:iCs/>
        </w:rPr>
      </w:pPr>
    </w:p>
    <w:p w14:paraId="560B873A" w14:textId="77777777" w:rsidR="00230776" w:rsidRPr="00B4098D" w:rsidRDefault="00230776" w:rsidP="00230776">
      <w:pPr>
        <w:numPr>
          <w:ilvl w:val="0"/>
          <w:numId w:val="20"/>
        </w:numPr>
        <w:spacing w:after="0" w:line="0" w:lineRule="atLeast"/>
        <w:contextualSpacing/>
        <w:rPr>
          <w:i/>
          <w:iCs/>
        </w:rPr>
      </w:pPr>
      <w:r w:rsidRPr="00B4098D">
        <w:rPr>
          <w:i/>
          <w:iCs/>
        </w:rPr>
        <w:t xml:space="preserve">Un Paese completamente digitale </w:t>
      </w:r>
    </w:p>
    <w:p w14:paraId="134F9A2F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 xml:space="preserve">Un Paese con infrastrutture sicure ed efficienti </w:t>
      </w:r>
    </w:p>
    <w:p w14:paraId="6FDAB5F1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 xml:space="preserve">Un Paese più verde e sostenibile </w:t>
      </w:r>
    </w:p>
    <w:p w14:paraId="3482D996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 xml:space="preserve">Un tessuto economico più competitivo e resiliente </w:t>
      </w:r>
    </w:p>
    <w:p w14:paraId="1AE20CDC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 xml:space="preserve">Un piano integrato di sostegno alle filiere produttive </w:t>
      </w:r>
    </w:p>
    <w:p w14:paraId="6D1424B1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 xml:space="preserve">Una Pubblica Amministrazione al servizio dei cittadini e delle imprese </w:t>
      </w:r>
    </w:p>
    <w:p w14:paraId="38D09329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 xml:space="preserve">Maggiori investimenti in istruzione, formazione e ricerca </w:t>
      </w:r>
    </w:p>
    <w:p w14:paraId="34AA6549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 xml:space="preserve">Un’Italia più equa e inclusiva, a livello sociale, territoriale e di genere </w:t>
      </w:r>
    </w:p>
    <w:p w14:paraId="07FC6FC0" w14:textId="77777777" w:rsidR="00230776" w:rsidRPr="00B4098D" w:rsidRDefault="00230776" w:rsidP="00230776">
      <w:pPr>
        <w:numPr>
          <w:ilvl w:val="0"/>
          <w:numId w:val="20"/>
        </w:numPr>
        <w:spacing w:after="0" w:line="240" w:lineRule="auto"/>
        <w:contextualSpacing/>
        <w:rPr>
          <w:i/>
          <w:iCs/>
        </w:rPr>
      </w:pPr>
      <w:r w:rsidRPr="00B4098D">
        <w:rPr>
          <w:i/>
          <w:iCs/>
        </w:rPr>
        <w:t>Un ordinamento giuridico più moderno ed efficiente</w:t>
      </w:r>
    </w:p>
    <w:p w14:paraId="1321EB74" w14:textId="36D7984D" w:rsidR="00161465" w:rsidRDefault="00161465" w:rsidP="00F3734C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5569EF04" w14:textId="242651C7" w:rsidR="007555DA" w:rsidRPr="00B4098D" w:rsidRDefault="007555DA" w:rsidP="00E749BF">
      <w:pPr>
        <w:jc w:val="both"/>
        <w:rPr>
          <w:b/>
          <w:bCs/>
          <w:sz w:val="24"/>
          <w:szCs w:val="24"/>
        </w:rPr>
      </w:pPr>
    </w:p>
    <w:p w14:paraId="4B83062F" w14:textId="4EC8DB81" w:rsidR="007555DA" w:rsidRPr="00B4098D" w:rsidRDefault="007555DA" w:rsidP="00E749BF">
      <w:pPr>
        <w:jc w:val="both"/>
        <w:rPr>
          <w:sz w:val="24"/>
          <w:szCs w:val="24"/>
        </w:rPr>
      </w:pPr>
      <w:r w:rsidRPr="00B4098D">
        <w:rPr>
          <w:sz w:val="24"/>
          <w:szCs w:val="24"/>
        </w:rPr>
        <w:t xml:space="preserve">Con </w:t>
      </w:r>
      <w:r w:rsidR="00AB28C6" w:rsidRPr="00B4098D">
        <w:rPr>
          <w:sz w:val="24"/>
          <w:szCs w:val="24"/>
        </w:rPr>
        <w:t>D</w:t>
      </w:r>
      <w:r w:rsidRPr="00B4098D">
        <w:rPr>
          <w:sz w:val="24"/>
          <w:szCs w:val="24"/>
        </w:rPr>
        <w:t>elibera</w:t>
      </w:r>
      <w:r w:rsidR="00457D04" w:rsidRPr="00B4098D">
        <w:rPr>
          <w:sz w:val="24"/>
          <w:szCs w:val="24"/>
        </w:rPr>
        <w:t xml:space="preserve"> </w:t>
      </w:r>
      <w:r w:rsidR="00A14180">
        <w:rPr>
          <w:sz w:val="24"/>
          <w:szCs w:val="24"/>
        </w:rPr>
        <w:t>di</w:t>
      </w:r>
      <w:r w:rsidR="00457D04" w:rsidRPr="00B4098D">
        <w:rPr>
          <w:sz w:val="24"/>
          <w:szCs w:val="24"/>
        </w:rPr>
        <w:t xml:space="preserve"> </w:t>
      </w:r>
      <w:r w:rsidR="00B4098D">
        <w:rPr>
          <w:sz w:val="24"/>
          <w:szCs w:val="24"/>
        </w:rPr>
        <w:t>Giunta regionale</w:t>
      </w:r>
      <w:r w:rsidR="00457D04" w:rsidRPr="00B4098D">
        <w:rPr>
          <w:sz w:val="24"/>
          <w:szCs w:val="24"/>
        </w:rPr>
        <w:t xml:space="preserve"> </w:t>
      </w:r>
      <w:r w:rsidRPr="00B4098D">
        <w:rPr>
          <w:sz w:val="24"/>
          <w:szCs w:val="24"/>
        </w:rPr>
        <w:t>n</w:t>
      </w:r>
      <w:r w:rsidR="00B4098D">
        <w:rPr>
          <w:sz w:val="24"/>
          <w:szCs w:val="24"/>
        </w:rPr>
        <w:t>.</w:t>
      </w:r>
      <w:r w:rsidRPr="00B4098D">
        <w:rPr>
          <w:sz w:val="24"/>
          <w:szCs w:val="24"/>
        </w:rPr>
        <w:t xml:space="preserve"> </w:t>
      </w:r>
      <w:r w:rsidR="00B4098D">
        <w:rPr>
          <w:sz w:val="24"/>
          <w:szCs w:val="24"/>
        </w:rPr>
        <w:t>DEC</w:t>
      </w:r>
      <w:r w:rsidR="007E2769" w:rsidRPr="00B4098D">
        <w:rPr>
          <w:sz w:val="24"/>
          <w:szCs w:val="24"/>
        </w:rPr>
        <w:t>61 del</w:t>
      </w:r>
      <w:r w:rsidR="00457D04" w:rsidRPr="00B4098D">
        <w:rPr>
          <w:sz w:val="24"/>
          <w:szCs w:val="24"/>
        </w:rPr>
        <w:t>l’</w:t>
      </w:r>
      <w:r w:rsidR="00B4098D">
        <w:rPr>
          <w:sz w:val="24"/>
          <w:szCs w:val="24"/>
        </w:rPr>
        <w:t>5</w:t>
      </w:r>
      <w:r w:rsidR="00457D04" w:rsidRPr="00B4098D">
        <w:rPr>
          <w:sz w:val="24"/>
          <w:szCs w:val="24"/>
        </w:rPr>
        <w:t xml:space="preserve"> novembre 2020</w:t>
      </w:r>
      <w:r w:rsidR="007E2769" w:rsidRPr="00B4098D">
        <w:rPr>
          <w:sz w:val="24"/>
          <w:szCs w:val="24"/>
        </w:rPr>
        <w:t xml:space="preserve"> la Regione Lazio ha approvato </w:t>
      </w:r>
      <w:r w:rsidR="00D9298B">
        <w:rPr>
          <w:sz w:val="24"/>
          <w:szCs w:val="24"/>
        </w:rPr>
        <w:t>l’atto</w:t>
      </w:r>
      <w:r w:rsidR="007E2769" w:rsidRPr="00B4098D">
        <w:rPr>
          <w:sz w:val="24"/>
          <w:szCs w:val="24"/>
        </w:rPr>
        <w:t xml:space="preserve"> di indirizzo NEXT GENERATION LAZIO con le priorità progettuali del Lazio </w:t>
      </w:r>
      <w:r w:rsidR="00AB28C6" w:rsidRPr="00B4098D">
        <w:rPr>
          <w:sz w:val="24"/>
          <w:szCs w:val="24"/>
        </w:rPr>
        <w:t>quale contributo al</w:t>
      </w:r>
      <w:r w:rsidR="007E2769" w:rsidRPr="00B4098D">
        <w:rPr>
          <w:sz w:val="24"/>
          <w:szCs w:val="24"/>
        </w:rPr>
        <w:t>la definizione del PNRR.</w:t>
      </w:r>
    </w:p>
    <w:p w14:paraId="042C9457" w14:textId="7B2F6A17" w:rsidR="007E2769" w:rsidRPr="00B4098D" w:rsidRDefault="007E2769" w:rsidP="00E749BF">
      <w:pPr>
        <w:jc w:val="both"/>
        <w:rPr>
          <w:sz w:val="24"/>
          <w:szCs w:val="24"/>
        </w:rPr>
      </w:pPr>
      <w:r w:rsidRPr="00B4098D">
        <w:rPr>
          <w:sz w:val="24"/>
          <w:szCs w:val="24"/>
        </w:rPr>
        <w:t xml:space="preserve">Nell’ambito del processo di </w:t>
      </w:r>
      <w:proofErr w:type="spellStart"/>
      <w:r w:rsidRPr="00B4098D">
        <w:rPr>
          <w:sz w:val="24"/>
          <w:szCs w:val="24"/>
        </w:rPr>
        <w:t>coprogettazione</w:t>
      </w:r>
      <w:proofErr w:type="spellEnd"/>
      <w:r w:rsidRPr="00B4098D">
        <w:rPr>
          <w:sz w:val="24"/>
          <w:szCs w:val="24"/>
        </w:rPr>
        <w:t xml:space="preserve"> avviato </w:t>
      </w:r>
      <w:r w:rsidR="00457D04" w:rsidRPr="00B4098D">
        <w:rPr>
          <w:sz w:val="24"/>
          <w:szCs w:val="24"/>
        </w:rPr>
        <w:t>dalla</w:t>
      </w:r>
      <w:r w:rsidR="004B53FA" w:rsidRPr="00B4098D">
        <w:rPr>
          <w:sz w:val="24"/>
          <w:szCs w:val="24"/>
        </w:rPr>
        <w:t xml:space="preserve"> </w:t>
      </w:r>
      <w:bookmarkStart w:id="1" w:name="_Hlk75258441"/>
      <w:r w:rsidR="004B53FA" w:rsidRPr="00B4098D">
        <w:rPr>
          <w:sz w:val="24"/>
          <w:szCs w:val="24"/>
        </w:rPr>
        <w:t xml:space="preserve">Cabina di Regia delle Regioni </w:t>
      </w:r>
      <w:bookmarkEnd w:id="1"/>
      <w:r w:rsidR="004B53FA" w:rsidRPr="00B4098D">
        <w:rPr>
          <w:sz w:val="24"/>
          <w:szCs w:val="24"/>
        </w:rPr>
        <w:t xml:space="preserve">presso la </w:t>
      </w:r>
      <w:bookmarkStart w:id="2" w:name="_Hlk75258481"/>
      <w:r w:rsidRPr="00B4098D">
        <w:rPr>
          <w:sz w:val="24"/>
          <w:szCs w:val="24"/>
        </w:rPr>
        <w:t>Conferenza delle Region</w:t>
      </w:r>
      <w:r w:rsidR="006B7242" w:rsidRPr="00B4098D">
        <w:rPr>
          <w:sz w:val="24"/>
          <w:szCs w:val="24"/>
        </w:rPr>
        <w:t xml:space="preserve">i </w:t>
      </w:r>
      <w:r w:rsidR="00AB28C6" w:rsidRPr="00B4098D">
        <w:rPr>
          <w:sz w:val="24"/>
          <w:szCs w:val="24"/>
        </w:rPr>
        <w:t>e delle Province autonome</w:t>
      </w:r>
      <w:r w:rsidR="00457D04" w:rsidRPr="00B4098D">
        <w:rPr>
          <w:sz w:val="24"/>
          <w:szCs w:val="24"/>
        </w:rPr>
        <w:t xml:space="preserve">, </w:t>
      </w:r>
      <w:bookmarkEnd w:id="2"/>
      <w:r w:rsidR="00457D04" w:rsidRPr="00B4098D">
        <w:rPr>
          <w:sz w:val="24"/>
          <w:szCs w:val="24"/>
        </w:rPr>
        <w:t xml:space="preserve">la Regione Lazio </w:t>
      </w:r>
      <w:r w:rsidR="00AB28C6" w:rsidRPr="00B4098D">
        <w:rPr>
          <w:sz w:val="24"/>
          <w:szCs w:val="24"/>
        </w:rPr>
        <w:t>-</w:t>
      </w:r>
      <w:r w:rsidR="00B4098D">
        <w:rPr>
          <w:sz w:val="24"/>
          <w:szCs w:val="24"/>
        </w:rPr>
        <w:t xml:space="preserve"> </w:t>
      </w:r>
      <w:r w:rsidR="00AB28C6" w:rsidRPr="00B4098D">
        <w:rPr>
          <w:sz w:val="24"/>
          <w:szCs w:val="24"/>
        </w:rPr>
        <w:t xml:space="preserve">seguendo le indicazioni </w:t>
      </w:r>
      <w:r w:rsidR="00457D04" w:rsidRPr="00B4098D">
        <w:rPr>
          <w:sz w:val="24"/>
          <w:szCs w:val="24"/>
        </w:rPr>
        <w:t>delle Linee guida nazionali per la Redazione del PNNR</w:t>
      </w:r>
      <w:r w:rsidR="00B4098D">
        <w:rPr>
          <w:sz w:val="24"/>
          <w:szCs w:val="24"/>
        </w:rPr>
        <w:t xml:space="preserve"> </w:t>
      </w:r>
      <w:r w:rsidR="00AB28C6" w:rsidRPr="00B4098D">
        <w:rPr>
          <w:sz w:val="24"/>
          <w:szCs w:val="24"/>
        </w:rPr>
        <w:t>-</w:t>
      </w:r>
      <w:r w:rsidR="00457D04" w:rsidRPr="00B4098D">
        <w:rPr>
          <w:sz w:val="24"/>
          <w:szCs w:val="24"/>
        </w:rPr>
        <w:t xml:space="preserve"> ha individuato ed indicato le priorità di investimento a partire dai documenti di programmazione adottati</w:t>
      </w:r>
      <w:r w:rsidR="004B53FA" w:rsidRPr="00B4098D">
        <w:rPr>
          <w:sz w:val="24"/>
          <w:szCs w:val="24"/>
        </w:rPr>
        <w:t xml:space="preserve"> </w:t>
      </w:r>
      <w:r w:rsidR="00457D04" w:rsidRPr="00B4098D">
        <w:rPr>
          <w:sz w:val="24"/>
          <w:szCs w:val="24"/>
        </w:rPr>
        <w:t>- DSP 2018 e DEFR 2020-2022-,</w:t>
      </w:r>
      <w:r w:rsidR="00AB28C6" w:rsidRPr="00B4098D">
        <w:rPr>
          <w:sz w:val="24"/>
          <w:szCs w:val="24"/>
        </w:rPr>
        <w:t xml:space="preserve"> </w:t>
      </w:r>
      <w:r w:rsidR="004B53FA" w:rsidRPr="00B4098D">
        <w:rPr>
          <w:sz w:val="24"/>
          <w:szCs w:val="24"/>
        </w:rPr>
        <w:t>ed in coerenza con il percorso partenariale avviato e gli obiettivi di policy della programmazione 2021-2027.</w:t>
      </w:r>
    </w:p>
    <w:p w14:paraId="5FAB3DB0" w14:textId="1DAEB3C4" w:rsidR="004B53FA" w:rsidRDefault="00AB28C6" w:rsidP="00E749BF">
      <w:pPr>
        <w:jc w:val="both"/>
        <w:rPr>
          <w:sz w:val="24"/>
          <w:szCs w:val="24"/>
        </w:rPr>
      </w:pPr>
      <w:r w:rsidRPr="00B4098D">
        <w:rPr>
          <w:sz w:val="24"/>
          <w:szCs w:val="24"/>
        </w:rPr>
        <w:t>NEXT GENERATION LAZIO ha individuato 40 interventi divisi in cluster e secondo gli indirizzi strategici</w:t>
      </w:r>
      <w:r w:rsidR="00661832">
        <w:rPr>
          <w:sz w:val="24"/>
          <w:szCs w:val="24"/>
        </w:rPr>
        <w:t xml:space="preserve"> e le </w:t>
      </w:r>
      <w:r w:rsidRPr="00B4098D">
        <w:rPr>
          <w:sz w:val="24"/>
          <w:szCs w:val="24"/>
        </w:rPr>
        <w:t xml:space="preserve">6 missioni indicate dalle Linee guida nazionali per una somma totale di circa 17 miliardi. </w:t>
      </w:r>
    </w:p>
    <w:p w14:paraId="635B8292" w14:textId="77777777" w:rsidR="004F04CD" w:rsidRPr="004F04CD" w:rsidRDefault="004F04CD" w:rsidP="004F04CD">
      <w:pPr>
        <w:jc w:val="both"/>
        <w:rPr>
          <w:sz w:val="24"/>
        </w:rPr>
      </w:pPr>
      <w:r w:rsidRPr="004F04CD">
        <w:rPr>
          <w:sz w:val="24"/>
        </w:rPr>
        <w:t>Il PNRR trasmesso alla Commissione europea, come completato nella sua strutturazione finanziaria dall’approvazione del Fondo complementare, individua solo in casi molto limitati, e segnatamente per alcune opere infrastrutturali, interventi puntuali che saranno sostenuti attraverso il Piano Nazionale.</w:t>
      </w:r>
    </w:p>
    <w:p w14:paraId="48AD0151" w14:textId="1A291148" w:rsidR="004F04CD" w:rsidRPr="004F04CD" w:rsidRDefault="004F04CD" w:rsidP="004F04CD">
      <w:pPr>
        <w:jc w:val="both"/>
        <w:rPr>
          <w:sz w:val="24"/>
        </w:rPr>
      </w:pPr>
      <w:r w:rsidRPr="004F04CD">
        <w:rPr>
          <w:sz w:val="24"/>
        </w:rPr>
        <w:t xml:space="preserve">Da una prima lettura, </w:t>
      </w:r>
      <w:r w:rsidR="00A14180">
        <w:rPr>
          <w:sz w:val="24"/>
        </w:rPr>
        <w:t xml:space="preserve">peraltro </w:t>
      </w:r>
      <w:r w:rsidRPr="004F04CD">
        <w:rPr>
          <w:sz w:val="24"/>
        </w:rPr>
        <w:t xml:space="preserve">complessa perché condizionata dalla necessità di incrociare fonti e documenti diversi tra loro, per la Regione Lazio - così come per le altre Regioni che avevano avanzato </w:t>
      </w:r>
      <w:r w:rsidRPr="004F04CD">
        <w:rPr>
          <w:sz w:val="24"/>
        </w:rPr>
        <w:lastRenderedPageBreak/>
        <w:t xml:space="preserve">le proprie ipotesi progettuali attraverso la Conferenza Stato Regioni, e per la stessa Roma Capitale – </w:t>
      </w:r>
      <w:r w:rsidR="00A14180">
        <w:rPr>
          <w:sz w:val="24"/>
        </w:rPr>
        <w:t>non è possibile cogliere compiutamente gli esiti in termini di impatto sul territorio regionale</w:t>
      </w:r>
      <w:r w:rsidRPr="004F04CD">
        <w:rPr>
          <w:sz w:val="24"/>
        </w:rPr>
        <w:t>.</w:t>
      </w:r>
    </w:p>
    <w:p w14:paraId="301857F1" w14:textId="3E038106" w:rsidR="004F04CD" w:rsidRPr="004F04CD" w:rsidRDefault="004F04CD" w:rsidP="004F04CD">
      <w:pPr>
        <w:jc w:val="both"/>
        <w:rPr>
          <w:sz w:val="24"/>
        </w:rPr>
      </w:pPr>
      <w:r w:rsidRPr="004F04CD">
        <w:rPr>
          <w:sz w:val="24"/>
        </w:rPr>
        <w:t>Insistono sul territorio laziale diverse opere strategiche come la Orte-</w:t>
      </w:r>
      <w:proofErr w:type="spellStart"/>
      <w:r w:rsidRPr="004F04CD">
        <w:rPr>
          <w:sz w:val="24"/>
        </w:rPr>
        <w:t>Falcognana</w:t>
      </w:r>
      <w:proofErr w:type="spellEnd"/>
      <w:r w:rsidRPr="004F04CD">
        <w:rPr>
          <w:sz w:val="24"/>
        </w:rPr>
        <w:t>, la Roma-Pescara, la messa in sicurezza della A24-</w:t>
      </w:r>
      <w:r>
        <w:rPr>
          <w:sz w:val="24"/>
        </w:rPr>
        <w:t xml:space="preserve">A25, gli interventi per lo sviluppo del </w:t>
      </w:r>
      <w:r w:rsidRPr="004F04CD">
        <w:rPr>
          <w:sz w:val="24"/>
        </w:rPr>
        <w:t>sistema portuale del Lazio, con risorse anche importanti, ma che riteniamo insufficienti.</w:t>
      </w:r>
    </w:p>
    <w:p w14:paraId="30F29863" w14:textId="2E6FCE09" w:rsidR="004F04CD" w:rsidRPr="004F04CD" w:rsidRDefault="004F04CD" w:rsidP="004F04CD">
      <w:pPr>
        <w:jc w:val="both"/>
        <w:rPr>
          <w:sz w:val="24"/>
        </w:rPr>
      </w:pPr>
      <w:r w:rsidRPr="004F04CD">
        <w:rPr>
          <w:sz w:val="24"/>
        </w:rPr>
        <w:t xml:space="preserve">La Regione </w:t>
      </w:r>
      <w:r>
        <w:rPr>
          <w:sz w:val="24"/>
        </w:rPr>
        <w:t>disporrà</w:t>
      </w:r>
      <w:r w:rsidRPr="004F04CD">
        <w:rPr>
          <w:sz w:val="24"/>
        </w:rPr>
        <w:t xml:space="preserve">, ad esempio, di risorse per il rinnovo del materiale rotabile per le ferrovie ex concesse, e le successive decisioni del Governo in tema di commissariamento delle opere strategiche vanno salutate positivamente, come segnale dell’evidente volontà di garantire copertura integrale a queste opere non appena le finanze pubbliche lo consentiranno, ma nel quadro complessivo </w:t>
      </w:r>
      <w:r w:rsidR="00E14C5F">
        <w:rPr>
          <w:sz w:val="24"/>
        </w:rPr>
        <w:t>è necessario proseguire il confronto con il Ministero competente</w:t>
      </w:r>
      <w:r w:rsidRPr="004F04CD">
        <w:rPr>
          <w:sz w:val="24"/>
        </w:rPr>
        <w:t xml:space="preserve"> considerando l’elenco delle opere che riteniamo necessarie per completare la maglia infrastrutturale della regione.</w:t>
      </w:r>
    </w:p>
    <w:p w14:paraId="65CCCDA7" w14:textId="77777777" w:rsidR="004F04CD" w:rsidRPr="004F04CD" w:rsidRDefault="004F04CD" w:rsidP="004F04CD">
      <w:pPr>
        <w:jc w:val="both"/>
        <w:rPr>
          <w:sz w:val="24"/>
        </w:rPr>
      </w:pPr>
      <w:r w:rsidRPr="004F04CD">
        <w:rPr>
          <w:sz w:val="24"/>
        </w:rPr>
        <w:t>Per quanto riguarda invece la gran parte delle risorse per gli investimenti previsti dal PNRR, solo gli orientamenti governativi, i decreti attuativi e, naturalmente, il confronto costruttivo che si è peraltro già attivato tra Governo e Regioni, potranno chiarire i criteri e gli strumenti attuativi delle diverse misure, il coinvolgimento di volta in volta diretto o indiretto delle Regioni e degli Enti territoriali, la stessa disponibilità finanziaria sulla quale la Regione e il suo territorio potranno contare per i diversi interventi.</w:t>
      </w:r>
    </w:p>
    <w:p w14:paraId="7CFA68A4" w14:textId="77777777" w:rsidR="004F04CD" w:rsidRPr="004F04CD" w:rsidRDefault="004F04CD" w:rsidP="004F04CD">
      <w:pPr>
        <w:jc w:val="both"/>
        <w:rPr>
          <w:sz w:val="24"/>
        </w:rPr>
      </w:pPr>
      <w:r w:rsidRPr="004F04CD">
        <w:rPr>
          <w:sz w:val="24"/>
        </w:rPr>
        <w:t>Sappiamo, ad esempio, che l’orientamento del Ministro per la Salute per quanto attiene gli interventi previsti nella Missione 6 – che certamente saranno attuati dalle Regioni – dovrebbe seguire i criteri di riparto del Fondo Sanitario Nazionale.</w:t>
      </w:r>
    </w:p>
    <w:p w14:paraId="2D8D47C7" w14:textId="4D8B8B01" w:rsidR="004F04CD" w:rsidRPr="004F04CD" w:rsidRDefault="004F04CD" w:rsidP="004F04CD">
      <w:pPr>
        <w:jc w:val="both"/>
        <w:rPr>
          <w:sz w:val="24"/>
        </w:rPr>
      </w:pPr>
      <w:r w:rsidRPr="004F04CD">
        <w:rPr>
          <w:sz w:val="24"/>
        </w:rPr>
        <w:t xml:space="preserve">Sappiamo che altri Ministeri, su altre misure, ricorreranno a bandi, a procedure di evidenza pubblica rispetto alle quali, con ogni evidenza, saranno premiate le realtà che dispongono di portafogli progettuali </w:t>
      </w:r>
      <w:r>
        <w:rPr>
          <w:sz w:val="24"/>
        </w:rPr>
        <w:t>più strutturati</w:t>
      </w:r>
      <w:r w:rsidRPr="004F04CD">
        <w:rPr>
          <w:sz w:val="24"/>
        </w:rPr>
        <w:t>, ma sappiamo anche - come si evince dalla lettura della versione estesa e dettagliata del PNRR trasmessa alla Commissione europea - che ogni misura, ogni intervento, ogni riforma prevista, è quantificata puntualmente nei suoi target qualitativi e quantitativi,  e quindi nella fase che si apre, il tema più rilevante per la Regione come Amministrazione nel suo complesso, è quello di predisporsi in termini organizzativi per poter rispondere efficacemente all’”urto” di questa mole di risorse.</w:t>
      </w:r>
    </w:p>
    <w:p w14:paraId="20075BDC" w14:textId="5AF84733" w:rsidR="004F04CD" w:rsidRPr="004F04CD" w:rsidRDefault="004F04CD" w:rsidP="004F04CD">
      <w:pPr>
        <w:jc w:val="both"/>
        <w:rPr>
          <w:sz w:val="24"/>
        </w:rPr>
      </w:pPr>
      <w:proofErr w:type="gramStart"/>
      <w:r w:rsidRPr="004F04CD">
        <w:rPr>
          <w:sz w:val="24"/>
        </w:rPr>
        <w:t>E’</w:t>
      </w:r>
      <w:proofErr w:type="gramEnd"/>
      <w:r w:rsidRPr="004F04CD">
        <w:rPr>
          <w:sz w:val="24"/>
        </w:rPr>
        <w:t xml:space="preserve"> una sfida enorme</w:t>
      </w:r>
      <w:r>
        <w:rPr>
          <w:sz w:val="24"/>
        </w:rPr>
        <w:t>,</w:t>
      </w:r>
      <w:r w:rsidRPr="004F04CD">
        <w:rPr>
          <w:sz w:val="24"/>
        </w:rPr>
        <w:t xml:space="preserve"> molto ambiziosa, che presenta dei margini di rischio che non casualmente sono stati già messi a fuoco nel DL 77/2021 sulla </w:t>
      </w:r>
      <w:proofErr w:type="spellStart"/>
      <w:r w:rsidRPr="004F04CD">
        <w:rPr>
          <w:sz w:val="24"/>
        </w:rPr>
        <w:t>governance</w:t>
      </w:r>
      <w:proofErr w:type="spellEnd"/>
      <w:r w:rsidRPr="004F04CD">
        <w:rPr>
          <w:sz w:val="24"/>
        </w:rPr>
        <w:t xml:space="preserve"> del PNRR, rispetto ai quali la Regione Lazio dovrà garantire il rispetto delle previsioni attuative per evitare qualunque ipotesi di attribuzione di poteri sostitutivi ad altri soggetti pubblici.</w:t>
      </w:r>
    </w:p>
    <w:p w14:paraId="523333E7" w14:textId="77777777" w:rsidR="004F04CD" w:rsidRDefault="004F04CD" w:rsidP="00E749BF">
      <w:pPr>
        <w:jc w:val="both"/>
        <w:rPr>
          <w:sz w:val="24"/>
          <w:szCs w:val="24"/>
        </w:rPr>
      </w:pPr>
    </w:p>
    <w:p w14:paraId="3543AB37" w14:textId="77777777" w:rsidR="007560C4" w:rsidRDefault="007560C4" w:rsidP="00E749BF">
      <w:pPr>
        <w:jc w:val="both"/>
        <w:rPr>
          <w:sz w:val="24"/>
          <w:szCs w:val="24"/>
        </w:rPr>
      </w:pPr>
    </w:p>
    <w:p w14:paraId="3985B775" w14:textId="77777777" w:rsidR="004B53FA" w:rsidRPr="00B4098D" w:rsidRDefault="004B53FA" w:rsidP="00E749BF">
      <w:pPr>
        <w:jc w:val="both"/>
        <w:rPr>
          <w:sz w:val="24"/>
          <w:szCs w:val="24"/>
        </w:rPr>
      </w:pPr>
    </w:p>
    <w:p w14:paraId="0968E124" w14:textId="77777777" w:rsidR="007555DA" w:rsidRDefault="007555DA" w:rsidP="00E749BF">
      <w:pPr>
        <w:jc w:val="both"/>
        <w:rPr>
          <w:sz w:val="24"/>
          <w:szCs w:val="24"/>
          <w:u w:val="single"/>
        </w:rPr>
      </w:pPr>
    </w:p>
    <w:p w14:paraId="5B93FF15" w14:textId="559518AB" w:rsidR="00EC6A4A" w:rsidRPr="003C0DB8" w:rsidRDefault="00EC6A4A" w:rsidP="00EC6A4A">
      <w:pPr>
        <w:pStyle w:val="NormaleWeb"/>
        <w:shd w:val="clear" w:color="auto" w:fill="FFFFFF"/>
        <w:spacing w:before="30" w:beforeAutospacing="0" w:after="30" w:afterAutospacing="0"/>
        <w:ind w:left="30"/>
        <w:rPr>
          <w:rFonts w:ascii="Verdana" w:hAnsi="Verdana"/>
          <w:color w:val="000000"/>
          <w:sz w:val="20"/>
          <w:szCs w:val="20"/>
        </w:rPr>
      </w:pPr>
    </w:p>
    <w:sectPr w:rsidR="00EC6A4A" w:rsidRPr="003C0DB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3FF9" w14:textId="77777777" w:rsidR="005449C4" w:rsidRDefault="005449C4" w:rsidP="00B75A82">
      <w:pPr>
        <w:spacing w:after="0" w:line="240" w:lineRule="auto"/>
      </w:pPr>
      <w:r>
        <w:separator/>
      </w:r>
    </w:p>
  </w:endnote>
  <w:endnote w:type="continuationSeparator" w:id="0">
    <w:p w14:paraId="0B0EA5C0" w14:textId="77777777" w:rsidR="005449C4" w:rsidRDefault="005449C4" w:rsidP="00B7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108987"/>
      <w:docPartObj>
        <w:docPartGallery w:val="Page Numbers (Bottom of Page)"/>
        <w:docPartUnique/>
      </w:docPartObj>
    </w:sdtPr>
    <w:sdtEndPr/>
    <w:sdtContent>
      <w:p w14:paraId="2E0CFF45" w14:textId="3E317950" w:rsidR="000E2EBF" w:rsidRDefault="000E2E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42">
          <w:rPr>
            <w:noProof/>
          </w:rPr>
          <w:t>5</w:t>
        </w:r>
        <w:r>
          <w:fldChar w:fldCharType="end"/>
        </w:r>
      </w:p>
    </w:sdtContent>
  </w:sdt>
  <w:p w14:paraId="6512F45D" w14:textId="77777777" w:rsidR="000E2EBF" w:rsidRDefault="000E2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74B4" w14:textId="77777777" w:rsidR="005449C4" w:rsidRDefault="005449C4" w:rsidP="00B75A82">
      <w:pPr>
        <w:spacing w:after="0" w:line="240" w:lineRule="auto"/>
      </w:pPr>
      <w:r>
        <w:separator/>
      </w:r>
    </w:p>
  </w:footnote>
  <w:footnote w:type="continuationSeparator" w:id="0">
    <w:p w14:paraId="531CD1E3" w14:textId="77777777" w:rsidR="005449C4" w:rsidRDefault="005449C4" w:rsidP="00B7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80"/>
    <w:multiLevelType w:val="hybridMultilevel"/>
    <w:tmpl w:val="8800DFFE"/>
    <w:lvl w:ilvl="0" w:tplc="906870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335A"/>
    <w:multiLevelType w:val="hybridMultilevel"/>
    <w:tmpl w:val="8F44C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621"/>
    <w:multiLevelType w:val="multilevel"/>
    <w:tmpl w:val="F4F88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B3CEE"/>
    <w:multiLevelType w:val="multilevel"/>
    <w:tmpl w:val="74F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0C85"/>
    <w:multiLevelType w:val="multilevel"/>
    <w:tmpl w:val="EDF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0212"/>
    <w:multiLevelType w:val="hybridMultilevel"/>
    <w:tmpl w:val="5154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1D3D"/>
    <w:multiLevelType w:val="hybridMultilevel"/>
    <w:tmpl w:val="BFC0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18F7"/>
    <w:multiLevelType w:val="hybridMultilevel"/>
    <w:tmpl w:val="DECA792C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9A13291"/>
    <w:multiLevelType w:val="multilevel"/>
    <w:tmpl w:val="F4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832DC"/>
    <w:multiLevelType w:val="hybridMultilevel"/>
    <w:tmpl w:val="C3E0E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17026"/>
    <w:multiLevelType w:val="hybridMultilevel"/>
    <w:tmpl w:val="6D1EA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C2BA8"/>
    <w:multiLevelType w:val="hybridMultilevel"/>
    <w:tmpl w:val="EEC22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53669"/>
    <w:multiLevelType w:val="hybridMultilevel"/>
    <w:tmpl w:val="193A3F74"/>
    <w:lvl w:ilvl="0" w:tplc="906870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E6337"/>
    <w:multiLevelType w:val="hybridMultilevel"/>
    <w:tmpl w:val="EC52C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81615"/>
    <w:multiLevelType w:val="multilevel"/>
    <w:tmpl w:val="98B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50917"/>
    <w:multiLevelType w:val="hybridMultilevel"/>
    <w:tmpl w:val="F49CAD3A"/>
    <w:lvl w:ilvl="0" w:tplc="31AE2A30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35B577E"/>
    <w:multiLevelType w:val="multilevel"/>
    <w:tmpl w:val="722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41944"/>
    <w:multiLevelType w:val="hybridMultilevel"/>
    <w:tmpl w:val="FD6E0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661C9"/>
    <w:multiLevelType w:val="hybridMultilevel"/>
    <w:tmpl w:val="3D22B5B0"/>
    <w:lvl w:ilvl="0" w:tplc="906870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619F"/>
    <w:multiLevelType w:val="hybridMultilevel"/>
    <w:tmpl w:val="AA342F4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9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BF"/>
    <w:rsid w:val="000214DC"/>
    <w:rsid w:val="00023CE6"/>
    <w:rsid w:val="00027F25"/>
    <w:rsid w:val="0004176E"/>
    <w:rsid w:val="00043CBE"/>
    <w:rsid w:val="00061D2C"/>
    <w:rsid w:val="0007389E"/>
    <w:rsid w:val="00073FCC"/>
    <w:rsid w:val="000A12B2"/>
    <w:rsid w:val="000B5642"/>
    <w:rsid w:val="000E2EBF"/>
    <w:rsid w:val="000F695B"/>
    <w:rsid w:val="00130697"/>
    <w:rsid w:val="00146D87"/>
    <w:rsid w:val="00161465"/>
    <w:rsid w:val="00180106"/>
    <w:rsid w:val="00180152"/>
    <w:rsid w:val="001C571D"/>
    <w:rsid w:val="001E1465"/>
    <w:rsid w:val="001E26EB"/>
    <w:rsid w:val="002014EF"/>
    <w:rsid w:val="002053A4"/>
    <w:rsid w:val="002207AC"/>
    <w:rsid w:val="00226654"/>
    <w:rsid w:val="00230776"/>
    <w:rsid w:val="0023348E"/>
    <w:rsid w:val="002353F7"/>
    <w:rsid w:val="00237806"/>
    <w:rsid w:val="0024024D"/>
    <w:rsid w:val="00251B74"/>
    <w:rsid w:val="00291CC0"/>
    <w:rsid w:val="002B54E5"/>
    <w:rsid w:val="002F746F"/>
    <w:rsid w:val="00303548"/>
    <w:rsid w:val="00312F29"/>
    <w:rsid w:val="00324B17"/>
    <w:rsid w:val="00365781"/>
    <w:rsid w:val="00365FB4"/>
    <w:rsid w:val="0037652F"/>
    <w:rsid w:val="003A2911"/>
    <w:rsid w:val="003B2647"/>
    <w:rsid w:val="003C0DB8"/>
    <w:rsid w:val="003D6B61"/>
    <w:rsid w:val="003E35C7"/>
    <w:rsid w:val="003F7BC3"/>
    <w:rsid w:val="004001DF"/>
    <w:rsid w:val="00415F8A"/>
    <w:rsid w:val="00430C8A"/>
    <w:rsid w:val="0043526E"/>
    <w:rsid w:val="00436AEF"/>
    <w:rsid w:val="00457D04"/>
    <w:rsid w:val="004A5F7E"/>
    <w:rsid w:val="004B39D7"/>
    <w:rsid w:val="004B53FA"/>
    <w:rsid w:val="004D22CE"/>
    <w:rsid w:val="004D2E17"/>
    <w:rsid w:val="004E4B7F"/>
    <w:rsid w:val="004E5C68"/>
    <w:rsid w:val="004F04CD"/>
    <w:rsid w:val="00501ADA"/>
    <w:rsid w:val="005444F1"/>
    <w:rsid w:val="005449C4"/>
    <w:rsid w:val="005560A4"/>
    <w:rsid w:val="0056643E"/>
    <w:rsid w:val="005747A3"/>
    <w:rsid w:val="005837AF"/>
    <w:rsid w:val="005C1B64"/>
    <w:rsid w:val="005C2336"/>
    <w:rsid w:val="005C67C5"/>
    <w:rsid w:val="00604D9D"/>
    <w:rsid w:val="006060D5"/>
    <w:rsid w:val="00621E10"/>
    <w:rsid w:val="00632407"/>
    <w:rsid w:val="00647FBF"/>
    <w:rsid w:val="0065214F"/>
    <w:rsid w:val="00652419"/>
    <w:rsid w:val="00661832"/>
    <w:rsid w:val="0067614E"/>
    <w:rsid w:val="00677B91"/>
    <w:rsid w:val="006912F5"/>
    <w:rsid w:val="006B6B72"/>
    <w:rsid w:val="006B7242"/>
    <w:rsid w:val="006C7C7D"/>
    <w:rsid w:val="007141BD"/>
    <w:rsid w:val="00722612"/>
    <w:rsid w:val="00732A99"/>
    <w:rsid w:val="00733D59"/>
    <w:rsid w:val="00734D4D"/>
    <w:rsid w:val="00742FD9"/>
    <w:rsid w:val="007555DA"/>
    <w:rsid w:val="007560C4"/>
    <w:rsid w:val="00760C62"/>
    <w:rsid w:val="007642D7"/>
    <w:rsid w:val="00771532"/>
    <w:rsid w:val="007836D6"/>
    <w:rsid w:val="007931CC"/>
    <w:rsid w:val="007B411E"/>
    <w:rsid w:val="007D79E5"/>
    <w:rsid w:val="007E2769"/>
    <w:rsid w:val="007E5B0F"/>
    <w:rsid w:val="007E7156"/>
    <w:rsid w:val="007F1B30"/>
    <w:rsid w:val="00806B42"/>
    <w:rsid w:val="00836824"/>
    <w:rsid w:val="00853A8D"/>
    <w:rsid w:val="00865EE3"/>
    <w:rsid w:val="00872EC6"/>
    <w:rsid w:val="008C2CF1"/>
    <w:rsid w:val="008D1343"/>
    <w:rsid w:val="008D7A2A"/>
    <w:rsid w:val="008E3D35"/>
    <w:rsid w:val="008E7015"/>
    <w:rsid w:val="009840E9"/>
    <w:rsid w:val="009A34A9"/>
    <w:rsid w:val="009B6C32"/>
    <w:rsid w:val="009E179F"/>
    <w:rsid w:val="009F4124"/>
    <w:rsid w:val="00A02A1A"/>
    <w:rsid w:val="00A14180"/>
    <w:rsid w:val="00A50F78"/>
    <w:rsid w:val="00A61E4C"/>
    <w:rsid w:val="00A6477B"/>
    <w:rsid w:val="00A65643"/>
    <w:rsid w:val="00A763EE"/>
    <w:rsid w:val="00AB28C6"/>
    <w:rsid w:val="00AC2E12"/>
    <w:rsid w:val="00AE1545"/>
    <w:rsid w:val="00AF7A09"/>
    <w:rsid w:val="00B133A4"/>
    <w:rsid w:val="00B27C3E"/>
    <w:rsid w:val="00B4098D"/>
    <w:rsid w:val="00B50064"/>
    <w:rsid w:val="00B51051"/>
    <w:rsid w:val="00B532A4"/>
    <w:rsid w:val="00B65C3B"/>
    <w:rsid w:val="00B75A82"/>
    <w:rsid w:val="00BD4C60"/>
    <w:rsid w:val="00BD6B3F"/>
    <w:rsid w:val="00BF36FF"/>
    <w:rsid w:val="00C06040"/>
    <w:rsid w:val="00C16A42"/>
    <w:rsid w:val="00C237C8"/>
    <w:rsid w:val="00C27BB1"/>
    <w:rsid w:val="00C3385A"/>
    <w:rsid w:val="00C34906"/>
    <w:rsid w:val="00C53236"/>
    <w:rsid w:val="00C83DDE"/>
    <w:rsid w:val="00C906D7"/>
    <w:rsid w:val="00C97664"/>
    <w:rsid w:val="00CB501C"/>
    <w:rsid w:val="00CD564E"/>
    <w:rsid w:val="00CE5867"/>
    <w:rsid w:val="00CF1A5B"/>
    <w:rsid w:val="00D20B54"/>
    <w:rsid w:val="00D43062"/>
    <w:rsid w:val="00D4758E"/>
    <w:rsid w:val="00D549D9"/>
    <w:rsid w:val="00D9298B"/>
    <w:rsid w:val="00D95BDC"/>
    <w:rsid w:val="00DB3663"/>
    <w:rsid w:val="00DE403E"/>
    <w:rsid w:val="00E10A56"/>
    <w:rsid w:val="00E14C5F"/>
    <w:rsid w:val="00E2654B"/>
    <w:rsid w:val="00E56586"/>
    <w:rsid w:val="00E749BF"/>
    <w:rsid w:val="00E93BC8"/>
    <w:rsid w:val="00E9593F"/>
    <w:rsid w:val="00EA32DF"/>
    <w:rsid w:val="00EB4D96"/>
    <w:rsid w:val="00EC36EC"/>
    <w:rsid w:val="00EC388B"/>
    <w:rsid w:val="00EC4762"/>
    <w:rsid w:val="00EC6A4A"/>
    <w:rsid w:val="00F053DE"/>
    <w:rsid w:val="00F143A6"/>
    <w:rsid w:val="00F20BC6"/>
    <w:rsid w:val="00F3734C"/>
    <w:rsid w:val="00F46F15"/>
    <w:rsid w:val="00F55DF4"/>
    <w:rsid w:val="00F7788A"/>
    <w:rsid w:val="00F83742"/>
    <w:rsid w:val="00F84C7E"/>
    <w:rsid w:val="00FA09E0"/>
    <w:rsid w:val="00FA1B25"/>
    <w:rsid w:val="00FB13FF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E97C"/>
  <w15:chartTrackingRefBased/>
  <w15:docId w15:val="{AEBBBE51-7999-44FC-91ED-5A5FD4FC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9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A82"/>
  </w:style>
  <w:style w:type="paragraph" w:styleId="Pidipagina">
    <w:name w:val="footer"/>
    <w:basedOn w:val="Normale"/>
    <w:link w:val="PidipaginaCarattere"/>
    <w:uiPriority w:val="99"/>
    <w:unhideWhenUsed/>
    <w:rsid w:val="00B7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A82"/>
  </w:style>
  <w:style w:type="character" w:styleId="Collegamentoipertestuale">
    <w:name w:val="Hyperlink"/>
    <w:basedOn w:val="Carpredefinitoparagrafo"/>
    <w:uiPriority w:val="99"/>
    <w:unhideWhenUsed/>
    <w:rsid w:val="005C233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C2336"/>
    <w:rPr>
      <w:i/>
      <w:iCs/>
    </w:rPr>
  </w:style>
  <w:style w:type="character" w:customStyle="1" w:styleId="numeropagina">
    <w:name w:val="numeropagina"/>
    <w:basedOn w:val="Carpredefinitoparagrafo"/>
    <w:rsid w:val="005C2336"/>
  </w:style>
  <w:style w:type="paragraph" w:styleId="NormaleWeb">
    <w:name w:val="Normal (Web)"/>
    <w:basedOn w:val="Normale"/>
    <w:uiPriority w:val="99"/>
    <w:unhideWhenUsed/>
    <w:rsid w:val="00E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261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5F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78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78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8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78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780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80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571D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4B7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E4B7F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43CBE"/>
    <w:pPr>
      <w:widowControl w:val="0"/>
      <w:autoSpaceDE w:val="0"/>
      <w:autoSpaceDN w:val="0"/>
      <w:spacing w:after="0" w:line="240" w:lineRule="auto"/>
      <w:ind w:left="667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C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6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48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817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9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803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7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3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52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27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53565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17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65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38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691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39005C73EAA6409E7A503849170A07" ma:contentTypeVersion="9" ma:contentTypeDescription="Creare un nuovo documento." ma:contentTypeScope="" ma:versionID="d973064592a6bd37f8d9c2f1d798d852">
  <xsd:schema xmlns:xsd="http://www.w3.org/2001/XMLSchema" xmlns:xs="http://www.w3.org/2001/XMLSchema" xmlns:p="http://schemas.microsoft.com/office/2006/metadata/properties" xmlns:ns3="5e72eb25-6aec-489e-b781-649cbbdbf93e" targetNamespace="http://schemas.microsoft.com/office/2006/metadata/properties" ma:root="true" ma:fieldsID="c23b184286293c714fd4c9b353a0cc5b" ns3:_="">
    <xsd:import namespace="5e72eb25-6aec-489e-b781-649cbbdbf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eb25-6aec-489e-b781-649cbbdbf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FDCD-DBA4-4FA2-AEA9-1E488F77F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AD183-56F9-4AD2-9DE8-88D82A6D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2eb25-6aec-489e-b781-649cbbdbf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BC8E6-8F3C-44B5-AACF-6CDB26551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BD3C9-DF5F-47D9-B496-A4A123DF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Raffaele</dc:creator>
  <cp:keywords/>
  <dc:description/>
  <cp:lastModifiedBy>Daniele Bongi</cp:lastModifiedBy>
  <cp:revision>5</cp:revision>
  <dcterms:created xsi:type="dcterms:W3CDTF">2021-06-25T10:55:00Z</dcterms:created>
  <dcterms:modified xsi:type="dcterms:W3CDTF">2021-06-25T14:22:00Z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0x0101008F39005C73EAA6409E7A503849170A07</vt:lpwstr>
  </property>
</Properties>
</file>